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CAFA" w14:textId="77777777" w:rsidR="007F14A2" w:rsidRDefault="007F14A2" w:rsidP="00002353">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Sanayi ve Teknoloji Bakanlığından:</w:t>
      </w:r>
    </w:p>
    <w:p w14:paraId="301082EE" w14:textId="77777777" w:rsidR="007F14A2" w:rsidRDefault="007F14A2" w:rsidP="00002353">
      <w:pPr>
        <w:spacing w:after="0" w:line="240" w:lineRule="auto"/>
        <w:jc w:val="center"/>
        <w:rPr>
          <w:rFonts w:ascii="Times New Roman" w:hAnsi="Times New Roman" w:cs="Times New Roman"/>
          <w:b/>
          <w:sz w:val="24"/>
          <w:szCs w:val="24"/>
        </w:rPr>
      </w:pPr>
    </w:p>
    <w:p w14:paraId="047BC173" w14:textId="13FFB79D" w:rsidR="007F14A2" w:rsidRDefault="00267221" w:rsidP="00002353">
      <w:pPr>
        <w:spacing w:after="0" w:line="240" w:lineRule="auto"/>
        <w:jc w:val="center"/>
        <w:rPr>
          <w:rFonts w:ascii="Times New Roman" w:hAnsi="Times New Roman" w:cs="Times New Roman"/>
          <w:b/>
          <w:sz w:val="24"/>
          <w:szCs w:val="24"/>
        </w:rPr>
      </w:pPr>
      <w:r w:rsidRPr="00267221">
        <w:rPr>
          <w:rFonts w:ascii="Times New Roman" w:hAnsi="Times New Roman" w:cs="Times New Roman"/>
          <w:b/>
          <w:sz w:val="24"/>
          <w:szCs w:val="24"/>
        </w:rPr>
        <w:t>SUNUCULAR VE VERİ DEPOLAMA ÜRÜNLERİ İLE İLGİLİ ÇEVREYE</w:t>
      </w:r>
      <w:r w:rsidR="00E91295">
        <w:rPr>
          <w:rFonts w:ascii="Times New Roman" w:hAnsi="Times New Roman" w:cs="Times New Roman"/>
          <w:b/>
          <w:sz w:val="24"/>
          <w:szCs w:val="24"/>
        </w:rPr>
        <w:t xml:space="preserve"> </w:t>
      </w:r>
      <w:r w:rsidRPr="00267221">
        <w:rPr>
          <w:rFonts w:ascii="Times New Roman" w:hAnsi="Times New Roman" w:cs="Times New Roman"/>
          <w:b/>
          <w:sz w:val="24"/>
          <w:szCs w:val="24"/>
        </w:rPr>
        <w:t>DUYARLI TASARIM GEREKLİLİKLERİNE DAİR TEBLİĞ</w:t>
      </w:r>
      <w:r w:rsidR="00E91295">
        <w:rPr>
          <w:rFonts w:ascii="Times New Roman" w:hAnsi="Times New Roman" w:cs="Times New Roman"/>
          <w:b/>
          <w:sz w:val="24"/>
          <w:szCs w:val="24"/>
        </w:rPr>
        <w:t xml:space="preserve"> </w:t>
      </w:r>
      <w:r w:rsidRPr="00267221">
        <w:rPr>
          <w:rFonts w:ascii="Times New Roman" w:hAnsi="Times New Roman" w:cs="Times New Roman"/>
          <w:b/>
          <w:sz w:val="24"/>
          <w:szCs w:val="24"/>
        </w:rPr>
        <w:t>(2019/424/AB) (SGM:2021/15)</w:t>
      </w:r>
      <w:r w:rsidR="007F14A2">
        <w:rPr>
          <w:rFonts w:ascii="Times New Roman" w:hAnsi="Times New Roman" w:cs="Times New Roman"/>
          <w:b/>
          <w:sz w:val="24"/>
          <w:szCs w:val="24"/>
        </w:rPr>
        <w:t>’DE DEĞİŞİKLİK YAPILMASINA DAİR TEBLİĞ (SGM:</w:t>
      </w:r>
      <w:r w:rsidR="004B00E9">
        <w:rPr>
          <w:rFonts w:ascii="Times New Roman" w:hAnsi="Times New Roman" w:cs="Times New Roman"/>
          <w:b/>
          <w:sz w:val="24"/>
          <w:szCs w:val="24"/>
        </w:rPr>
        <w:t>202</w:t>
      </w:r>
      <w:r w:rsidR="004B00E9">
        <w:rPr>
          <w:rFonts w:ascii="Times New Roman" w:hAnsi="Times New Roman" w:cs="Times New Roman"/>
          <w:b/>
          <w:sz w:val="24"/>
          <w:szCs w:val="24"/>
        </w:rPr>
        <w:t>2</w:t>
      </w:r>
      <w:proofErr w:type="gramStart"/>
      <w:r w:rsidR="007F14A2">
        <w:rPr>
          <w:rFonts w:ascii="Times New Roman" w:hAnsi="Times New Roman" w:cs="Times New Roman"/>
          <w:b/>
          <w:sz w:val="24"/>
          <w:szCs w:val="24"/>
        </w:rPr>
        <w:t>/..</w:t>
      </w:r>
      <w:proofErr w:type="gramEnd"/>
      <w:r w:rsidR="007F14A2">
        <w:rPr>
          <w:rFonts w:ascii="Times New Roman" w:hAnsi="Times New Roman" w:cs="Times New Roman"/>
          <w:b/>
          <w:sz w:val="24"/>
          <w:szCs w:val="24"/>
        </w:rPr>
        <w:t xml:space="preserve">) </w:t>
      </w:r>
    </w:p>
    <w:p w14:paraId="1AB91C37" w14:textId="77777777" w:rsidR="007F14A2" w:rsidRDefault="007F14A2" w:rsidP="00002353">
      <w:pPr>
        <w:spacing w:after="0" w:line="240" w:lineRule="auto"/>
        <w:rPr>
          <w:rFonts w:ascii="Times New Roman" w:hAnsi="Times New Roman" w:cs="Times New Roman"/>
          <w:b/>
          <w:sz w:val="24"/>
          <w:szCs w:val="24"/>
        </w:rPr>
      </w:pPr>
    </w:p>
    <w:p w14:paraId="3BC368B3" w14:textId="5508E2D7" w:rsidR="00002353" w:rsidRDefault="007F14A2" w:rsidP="00002353">
      <w:pPr>
        <w:spacing w:after="0" w:line="240" w:lineRule="auto"/>
        <w:rPr>
          <w:rFonts w:ascii="Times New Roman" w:hAnsi="Times New Roman" w:cs="Times New Roman"/>
          <w:sz w:val="24"/>
          <w:szCs w:val="24"/>
        </w:rPr>
      </w:pPr>
      <w:r w:rsidRPr="002D6C15">
        <w:rPr>
          <w:rFonts w:ascii="Times New Roman" w:hAnsi="Times New Roman" w:cs="Times New Roman"/>
          <w:b/>
          <w:sz w:val="24"/>
          <w:szCs w:val="24"/>
        </w:rPr>
        <w:t xml:space="preserve">MADDE 1 </w:t>
      </w:r>
      <w:r w:rsidRPr="002D6C15">
        <w:rPr>
          <w:rFonts w:ascii="Times New Roman" w:hAnsi="Times New Roman" w:cs="Times New Roman"/>
          <w:sz w:val="24"/>
          <w:szCs w:val="24"/>
        </w:rPr>
        <w:t>–</w:t>
      </w:r>
      <w:r w:rsidRPr="002D6C15">
        <w:rPr>
          <w:rFonts w:ascii="Times New Roman" w:hAnsi="Times New Roman" w:cs="Times New Roman"/>
          <w:b/>
          <w:sz w:val="24"/>
          <w:szCs w:val="24"/>
        </w:rPr>
        <w:t xml:space="preserve"> </w:t>
      </w:r>
      <w:r w:rsidRPr="002D6C15">
        <w:rPr>
          <w:rFonts w:ascii="Times New Roman" w:hAnsi="Times New Roman" w:cs="Times New Roman"/>
          <w:sz w:val="24"/>
          <w:szCs w:val="24"/>
        </w:rPr>
        <w:t xml:space="preserve">25/3/2021 tarihli ve 31434 (Mükerrer) sayılı Resmî </w:t>
      </w:r>
      <w:proofErr w:type="spellStart"/>
      <w:r w:rsidRPr="002D6C15">
        <w:rPr>
          <w:rFonts w:ascii="Times New Roman" w:hAnsi="Times New Roman" w:cs="Times New Roman"/>
          <w:sz w:val="24"/>
          <w:szCs w:val="24"/>
        </w:rPr>
        <w:t>Gazete’de</w:t>
      </w:r>
      <w:proofErr w:type="spellEnd"/>
      <w:r w:rsidRPr="002D6C15">
        <w:rPr>
          <w:rFonts w:ascii="Times New Roman" w:hAnsi="Times New Roman" w:cs="Times New Roman"/>
          <w:sz w:val="24"/>
          <w:szCs w:val="24"/>
        </w:rPr>
        <w:t xml:space="preserve"> yayımlanan </w:t>
      </w:r>
      <w:r w:rsidR="00695E31" w:rsidRPr="002D6C15">
        <w:rPr>
          <w:rFonts w:ascii="Times New Roman" w:hAnsi="Times New Roman" w:cs="Times New Roman"/>
          <w:sz w:val="24"/>
          <w:szCs w:val="24"/>
        </w:rPr>
        <w:t>Sunucular ve Veri Depolama Ürünleri İle İlgili Çevreye Duyarlı Tasarım Gerekliliklerine Dair Tebliğ (2019/424/AB) (SGM:2021/15)</w:t>
      </w:r>
      <w:r w:rsidRPr="002D6C15">
        <w:rPr>
          <w:rFonts w:ascii="Times New Roman" w:hAnsi="Times New Roman" w:cs="Times New Roman"/>
          <w:sz w:val="24"/>
          <w:szCs w:val="24"/>
        </w:rPr>
        <w:t>’in</w:t>
      </w:r>
      <w:r w:rsidR="003A4505" w:rsidRPr="002D6C15">
        <w:rPr>
          <w:rFonts w:ascii="Times New Roman" w:hAnsi="Times New Roman" w:cs="Times New Roman"/>
          <w:sz w:val="24"/>
          <w:szCs w:val="24"/>
        </w:rPr>
        <w:t xml:space="preserve"> </w:t>
      </w:r>
      <w:proofErr w:type="gramStart"/>
      <w:r w:rsidR="002D6C15" w:rsidRPr="002D6C15">
        <w:rPr>
          <w:rFonts w:ascii="Times New Roman" w:hAnsi="Times New Roman" w:cs="Times New Roman"/>
          <w:sz w:val="24"/>
          <w:szCs w:val="24"/>
        </w:rPr>
        <w:t>6</w:t>
      </w:r>
      <w:r w:rsidR="009345F4" w:rsidRPr="002D6C15">
        <w:rPr>
          <w:rFonts w:ascii="Times New Roman" w:hAnsi="Times New Roman" w:cs="Times New Roman"/>
          <w:sz w:val="24"/>
          <w:szCs w:val="24"/>
        </w:rPr>
        <w:t xml:space="preserve"> </w:t>
      </w:r>
      <w:proofErr w:type="spellStart"/>
      <w:r w:rsidR="00002353" w:rsidRPr="002D6C15">
        <w:rPr>
          <w:rFonts w:ascii="Times New Roman" w:hAnsi="Times New Roman" w:cs="Times New Roman"/>
          <w:sz w:val="24"/>
          <w:szCs w:val="24"/>
        </w:rPr>
        <w:t>nc</w:t>
      </w:r>
      <w:r w:rsidR="00002353">
        <w:rPr>
          <w:rFonts w:ascii="Times New Roman" w:hAnsi="Times New Roman" w:cs="Times New Roman"/>
          <w:sz w:val="24"/>
          <w:szCs w:val="24"/>
        </w:rPr>
        <w:t>ı</w:t>
      </w:r>
      <w:proofErr w:type="spellEnd"/>
      <w:proofErr w:type="gramEnd"/>
      <w:r w:rsidR="00002353" w:rsidRPr="002D6C15">
        <w:rPr>
          <w:rFonts w:ascii="Times New Roman" w:hAnsi="Times New Roman" w:cs="Times New Roman"/>
          <w:sz w:val="24"/>
          <w:szCs w:val="24"/>
        </w:rPr>
        <w:t xml:space="preserve"> </w:t>
      </w:r>
      <w:r w:rsidR="003A4505" w:rsidRPr="002D6C15">
        <w:rPr>
          <w:rFonts w:ascii="Times New Roman" w:hAnsi="Times New Roman" w:cs="Times New Roman"/>
          <w:sz w:val="24"/>
          <w:szCs w:val="24"/>
        </w:rPr>
        <w:t>maddesinin</w:t>
      </w:r>
      <w:r w:rsidR="009345F4" w:rsidRPr="002D6C15">
        <w:rPr>
          <w:rFonts w:ascii="Times New Roman" w:hAnsi="Times New Roman" w:cs="Times New Roman"/>
          <w:sz w:val="24"/>
          <w:szCs w:val="24"/>
        </w:rPr>
        <w:t xml:space="preserve"> </w:t>
      </w:r>
      <w:r w:rsidR="002D6C15" w:rsidRPr="002D6C15">
        <w:rPr>
          <w:rFonts w:ascii="Times New Roman" w:hAnsi="Times New Roman" w:cs="Times New Roman"/>
          <w:sz w:val="24"/>
          <w:szCs w:val="24"/>
        </w:rPr>
        <w:t>ikinci</w:t>
      </w:r>
      <w:r w:rsidR="009345F4" w:rsidRPr="002D6C15">
        <w:rPr>
          <w:rFonts w:ascii="Times New Roman" w:hAnsi="Times New Roman" w:cs="Times New Roman"/>
          <w:sz w:val="24"/>
          <w:szCs w:val="24"/>
        </w:rPr>
        <w:t xml:space="preserve"> fıkrası</w:t>
      </w:r>
      <w:r w:rsidR="00002353">
        <w:rPr>
          <w:rFonts w:ascii="Times New Roman" w:hAnsi="Times New Roman" w:cs="Times New Roman"/>
          <w:sz w:val="24"/>
          <w:szCs w:val="24"/>
        </w:rPr>
        <w:t xml:space="preserve"> aşağıdaki şekilde değiştirilmiştir.</w:t>
      </w:r>
    </w:p>
    <w:p w14:paraId="52923B28" w14:textId="50F346FE" w:rsidR="00BF47A0" w:rsidRDefault="00BF47A0" w:rsidP="00002353">
      <w:pPr>
        <w:spacing w:after="0" w:line="240" w:lineRule="auto"/>
        <w:rPr>
          <w:rFonts w:ascii="Times New Roman" w:hAnsi="Times New Roman" w:cs="Times New Roman"/>
          <w:sz w:val="24"/>
          <w:szCs w:val="24"/>
        </w:rPr>
      </w:pPr>
    </w:p>
    <w:p w14:paraId="1211745D" w14:textId="3E4B7FB8" w:rsidR="00002353" w:rsidRDefault="005F0088" w:rsidP="0000235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02353">
        <w:rPr>
          <w:rFonts w:ascii="Times New Roman" w:hAnsi="Times New Roman" w:cs="Times New Roman"/>
          <w:sz w:val="24"/>
          <w:szCs w:val="24"/>
        </w:rPr>
        <w:t xml:space="preserve">(2) </w:t>
      </w:r>
      <w:r w:rsidRPr="005F0088">
        <w:rPr>
          <w:rFonts w:ascii="Times New Roman" w:hAnsi="Times New Roman" w:cs="Times New Roman"/>
          <w:sz w:val="24"/>
          <w:szCs w:val="24"/>
        </w:rPr>
        <w:t>Enerji ile İlgili Ürünlerin Çevreye Duyarlı Tasarımına İlişkin Yönetmeliğin 10 uncu maddesi uyarınca uygunluk değerlendirmesinin amaçları bakımından, teknik dosya bu Tebliğin Ek-</w:t>
      </w:r>
      <w:proofErr w:type="spellStart"/>
      <w:r w:rsidRPr="005F0088">
        <w:rPr>
          <w:rFonts w:ascii="Times New Roman" w:hAnsi="Times New Roman" w:cs="Times New Roman"/>
          <w:sz w:val="24"/>
          <w:szCs w:val="24"/>
        </w:rPr>
        <w:t>II’sinin</w:t>
      </w:r>
      <w:proofErr w:type="spellEnd"/>
      <w:r w:rsidRPr="005F0088">
        <w:rPr>
          <w:rFonts w:ascii="Times New Roman" w:hAnsi="Times New Roman" w:cs="Times New Roman"/>
          <w:sz w:val="24"/>
          <w:szCs w:val="24"/>
        </w:rPr>
        <w:t xml:space="preserve"> 3.</w:t>
      </w:r>
      <w:proofErr w:type="gramStart"/>
      <w:r w:rsidRPr="005F0088">
        <w:rPr>
          <w:rFonts w:ascii="Times New Roman" w:hAnsi="Times New Roman" w:cs="Times New Roman"/>
          <w:sz w:val="24"/>
          <w:szCs w:val="24"/>
        </w:rPr>
        <w:t>4 üncü</w:t>
      </w:r>
      <w:proofErr w:type="gramEnd"/>
      <w:r w:rsidRPr="005F0088">
        <w:rPr>
          <w:rFonts w:ascii="Times New Roman" w:hAnsi="Times New Roman" w:cs="Times New Roman"/>
          <w:sz w:val="24"/>
          <w:szCs w:val="24"/>
        </w:rPr>
        <w:t xml:space="preserve"> maddesinde yer alan</w:t>
      </w:r>
      <w:r>
        <w:rPr>
          <w:rFonts w:ascii="Times New Roman" w:hAnsi="Times New Roman" w:cs="Times New Roman"/>
          <w:sz w:val="24"/>
          <w:szCs w:val="24"/>
        </w:rPr>
        <w:t xml:space="preserve"> ürün</w:t>
      </w:r>
      <w:r w:rsidRPr="005F0088">
        <w:rPr>
          <w:rFonts w:ascii="Times New Roman" w:hAnsi="Times New Roman" w:cs="Times New Roman"/>
          <w:sz w:val="24"/>
          <w:szCs w:val="24"/>
        </w:rPr>
        <w:t xml:space="preserve"> bilgileri</w:t>
      </w:r>
      <w:r>
        <w:rPr>
          <w:rFonts w:ascii="Times New Roman" w:hAnsi="Times New Roman" w:cs="Times New Roman"/>
          <w:sz w:val="24"/>
          <w:szCs w:val="24"/>
        </w:rPr>
        <w:t>nin bir kopyasını</w:t>
      </w:r>
      <w:r w:rsidR="00CD00F5">
        <w:rPr>
          <w:rFonts w:ascii="Times New Roman" w:hAnsi="Times New Roman" w:cs="Times New Roman"/>
          <w:sz w:val="24"/>
          <w:szCs w:val="24"/>
        </w:rPr>
        <w:t xml:space="preserve"> ve </w:t>
      </w:r>
      <w:r w:rsidR="00CD00F5" w:rsidRPr="00CD00F5">
        <w:rPr>
          <w:rFonts w:ascii="Times New Roman" w:hAnsi="Times New Roman" w:cs="Times New Roman"/>
          <w:sz w:val="24"/>
          <w:szCs w:val="24"/>
        </w:rPr>
        <w:t xml:space="preserve">Ek </w:t>
      </w:r>
      <w:proofErr w:type="spellStart"/>
      <w:r w:rsidR="00CD00F5" w:rsidRPr="00CD00F5">
        <w:rPr>
          <w:rFonts w:ascii="Times New Roman" w:hAnsi="Times New Roman" w:cs="Times New Roman"/>
          <w:sz w:val="24"/>
          <w:szCs w:val="24"/>
        </w:rPr>
        <w:t>III'te</w:t>
      </w:r>
      <w:proofErr w:type="spellEnd"/>
      <w:r w:rsidR="00CD00F5" w:rsidRPr="00CD00F5">
        <w:rPr>
          <w:rFonts w:ascii="Times New Roman" w:hAnsi="Times New Roman" w:cs="Times New Roman"/>
          <w:sz w:val="24"/>
          <w:szCs w:val="24"/>
        </w:rPr>
        <w:t xml:space="preserve"> ve uygun olduğu durumlarda bu </w:t>
      </w:r>
      <w:r w:rsidR="00CD00F5">
        <w:rPr>
          <w:rFonts w:ascii="Times New Roman" w:hAnsi="Times New Roman" w:cs="Times New Roman"/>
          <w:sz w:val="24"/>
          <w:szCs w:val="24"/>
        </w:rPr>
        <w:t>Tebliğin</w:t>
      </w:r>
      <w:r w:rsidR="00CD00F5" w:rsidRPr="00CD00F5">
        <w:rPr>
          <w:rFonts w:ascii="Times New Roman" w:hAnsi="Times New Roman" w:cs="Times New Roman"/>
          <w:sz w:val="24"/>
          <w:szCs w:val="24"/>
        </w:rPr>
        <w:t xml:space="preserve"> Ek </w:t>
      </w:r>
      <w:proofErr w:type="spellStart"/>
      <w:r w:rsidR="00CD00F5" w:rsidRPr="00CD00F5">
        <w:rPr>
          <w:rFonts w:ascii="Times New Roman" w:hAnsi="Times New Roman" w:cs="Times New Roman"/>
          <w:sz w:val="24"/>
          <w:szCs w:val="24"/>
        </w:rPr>
        <w:t>II</w:t>
      </w:r>
      <w:r w:rsidR="00CD00F5">
        <w:rPr>
          <w:rFonts w:ascii="Times New Roman" w:hAnsi="Times New Roman" w:cs="Times New Roman"/>
          <w:sz w:val="24"/>
          <w:szCs w:val="24"/>
        </w:rPr>
        <w:t>’sinin</w:t>
      </w:r>
      <w:proofErr w:type="spellEnd"/>
      <w:r w:rsidR="00CD00F5">
        <w:rPr>
          <w:rFonts w:ascii="Times New Roman" w:hAnsi="Times New Roman" w:cs="Times New Roman"/>
          <w:sz w:val="24"/>
          <w:szCs w:val="24"/>
        </w:rPr>
        <w:t xml:space="preserve"> </w:t>
      </w:r>
      <w:r w:rsidR="00CD00F5" w:rsidRPr="00CD00F5">
        <w:rPr>
          <w:rFonts w:ascii="Times New Roman" w:hAnsi="Times New Roman" w:cs="Times New Roman"/>
          <w:sz w:val="24"/>
          <w:szCs w:val="24"/>
        </w:rPr>
        <w:t>2</w:t>
      </w:r>
      <w:r w:rsidR="00CD00F5">
        <w:rPr>
          <w:rFonts w:ascii="Times New Roman" w:hAnsi="Times New Roman" w:cs="Times New Roman"/>
          <w:sz w:val="24"/>
          <w:szCs w:val="24"/>
        </w:rPr>
        <w:t xml:space="preserve"> </w:t>
      </w:r>
      <w:proofErr w:type="spellStart"/>
      <w:r w:rsidR="00CD00F5">
        <w:rPr>
          <w:rFonts w:ascii="Times New Roman" w:hAnsi="Times New Roman" w:cs="Times New Roman"/>
          <w:sz w:val="24"/>
          <w:szCs w:val="24"/>
        </w:rPr>
        <w:t>nci</w:t>
      </w:r>
      <w:proofErr w:type="spellEnd"/>
      <w:r w:rsidR="00CD00F5">
        <w:rPr>
          <w:rFonts w:ascii="Times New Roman" w:hAnsi="Times New Roman" w:cs="Times New Roman"/>
          <w:sz w:val="24"/>
          <w:szCs w:val="24"/>
        </w:rPr>
        <w:t xml:space="preserve"> maddesinde</w:t>
      </w:r>
      <w:r w:rsidR="00CD00F5" w:rsidRPr="00CD00F5">
        <w:rPr>
          <w:rFonts w:ascii="Times New Roman" w:hAnsi="Times New Roman" w:cs="Times New Roman"/>
          <w:sz w:val="24"/>
          <w:szCs w:val="24"/>
        </w:rPr>
        <w:t xml:space="preserve"> belirtilen hesaplamaların ayrıntıları</w:t>
      </w:r>
      <w:r w:rsidR="00CD00F5">
        <w:rPr>
          <w:rFonts w:ascii="Times New Roman" w:hAnsi="Times New Roman" w:cs="Times New Roman"/>
          <w:sz w:val="24"/>
          <w:szCs w:val="24"/>
        </w:rPr>
        <w:t>nı</w:t>
      </w:r>
      <w:r w:rsidR="00CD00F5" w:rsidRPr="00CD00F5">
        <w:rPr>
          <w:rFonts w:ascii="Times New Roman" w:hAnsi="Times New Roman" w:cs="Times New Roman"/>
          <w:sz w:val="24"/>
          <w:szCs w:val="24"/>
        </w:rPr>
        <w:t xml:space="preserve"> ve sonuçları</w:t>
      </w:r>
      <w:r w:rsidR="00CD00F5">
        <w:rPr>
          <w:rFonts w:ascii="Times New Roman" w:hAnsi="Times New Roman" w:cs="Times New Roman"/>
          <w:sz w:val="24"/>
          <w:szCs w:val="24"/>
        </w:rPr>
        <w:t>nı</w:t>
      </w:r>
      <w:r w:rsidRPr="005F0088">
        <w:rPr>
          <w:rFonts w:ascii="Times New Roman" w:hAnsi="Times New Roman" w:cs="Times New Roman"/>
          <w:sz w:val="24"/>
          <w:szCs w:val="24"/>
        </w:rPr>
        <w:t xml:space="preserve"> içerir.</w:t>
      </w:r>
      <w:r>
        <w:rPr>
          <w:rFonts w:ascii="Times New Roman" w:hAnsi="Times New Roman" w:cs="Times New Roman"/>
          <w:sz w:val="24"/>
          <w:szCs w:val="24"/>
        </w:rPr>
        <w:t>”</w:t>
      </w:r>
    </w:p>
    <w:p w14:paraId="2372C659" w14:textId="77777777" w:rsidR="003A4505" w:rsidRPr="00695E31" w:rsidRDefault="003A4505" w:rsidP="00002353">
      <w:pPr>
        <w:spacing w:after="0" w:line="240" w:lineRule="auto"/>
        <w:rPr>
          <w:rFonts w:ascii="Times New Roman" w:hAnsi="Times New Roman" w:cs="Times New Roman"/>
          <w:color w:val="FF0000"/>
          <w:sz w:val="24"/>
          <w:szCs w:val="24"/>
        </w:rPr>
      </w:pPr>
    </w:p>
    <w:p w14:paraId="7D6A4E3C" w14:textId="528A5487" w:rsidR="00BB60D8" w:rsidRPr="00535E09" w:rsidRDefault="003A4505" w:rsidP="00002353">
      <w:pPr>
        <w:spacing w:after="0" w:line="240" w:lineRule="auto"/>
        <w:rPr>
          <w:rFonts w:ascii="Times New Roman" w:hAnsi="Times New Roman" w:cs="Times New Roman"/>
          <w:sz w:val="24"/>
          <w:szCs w:val="24"/>
        </w:rPr>
      </w:pPr>
      <w:r w:rsidRPr="00535E09">
        <w:rPr>
          <w:rFonts w:ascii="Times New Roman" w:hAnsi="Times New Roman" w:cs="Times New Roman"/>
          <w:b/>
          <w:bCs/>
          <w:sz w:val="24"/>
          <w:szCs w:val="24"/>
        </w:rPr>
        <w:t>MADDE 2</w:t>
      </w:r>
      <w:r w:rsidRPr="00535E09">
        <w:rPr>
          <w:rFonts w:ascii="Times New Roman" w:hAnsi="Times New Roman" w:cs="Times New Roman"/>
          <w:sz w:val="24"/>
          <w:szCs w:val="24"/>
        </w:rPr>
        <w:t xml:space="preserve"> – </w:t>
      </w:r>
      <w:r w:rsidR="00BF47A0" w:rsidRPr="00535E09">
        <w:rPr>
          <w:rFonts w:ascii="Times New Roman" w:hAnsi="Times New Roman" w:cs="Times New Roman"/>
          <w:sz w:val="24"/>
          <w:szCs w:val="24"/>
        </w:rPr>
        <w:t xml:space="preserve">Aynı Tebliğin </w:t>
      </w:r>
      <w:r w:rsidR="00535E09" w:rsidRPr="00535E09">
        <w:rPr>
          <w:rFonts w:ascii="Times New Roman" w:hAnsi="Times New Roman" w:cs="Times New Roman"/>
          <w:sz w:val="24"/>
          <w:szCs w:val="24"/>
        </w:rPr>
        <w:t>8 inci maddesinin birinci fıkrası</w:t>
      </w:r>
      <w:r w:rsidR="00002353">
        <w:rPr>
          <w:rFonts w:ascii="Times New Roman" w:hAnsi="Times New Roman" w:cs="Times New Roman"/>
          <w:sz w:val="24"/>
          <w:szCs w:val="24"/>
        </w:rPr>
        <w:t xml:space="preserve"> aşağıdaki şekilde değiştirilmiştir.</w:t>
      </w:r>
    </w:p>
    <w:p w14:paraId="2EF70866" w14:textId="77777777" w:rsidR="00002353" w:rsidRDefault="00002353" w:rsidP="00002353">
      <w:pPr>
        <w:spacing w:after="0" w:line="240" w:lineRule="auto"/>
        <w:rPr>
          <w:rFonts w:ascii="Times New Roman" w:hAnsi="Times New Roman" w:cs="Times New Roman"/>
          <w:sz w:val="24"/>
          <w:szCs w:val="24"/>
        </w:rPr>
      </w:pPr>
    </w:p>
    <w:p w14:paraId="4F6B8962" w14:textId="49C53E62" w:rsidR="0064005A" w:rsidRDefault="0064005A" w:rsidP="00BA09F9">
      <w:pPr>
        <w:spacing w:after="0" w:line="240" w:lineRule="auto"/>
        <w:rPr>
          <w:rFonts w:ascii="Times New Roman" w:hAnsi="Times New Roman" w:cs="Times New Roman"/>
          <w:sz w:val="24"/>
          <w:szCs w:val="24"/>
        </w:rPr>
      </w:pPr>
      <w:r w:rsidRPr="00535E09">
        <w:rPr>
          <w:rFonts w:ascii="Times New Roman" w:hAnsi="Times New Roman" w:cs="Times New Roman"/>
          <w:sz w:val="24"/>
          <w:szCs w:val="24"/>
        </w:rPr>
        <w:t>“</w:t>
      </w:r>
      <w:r w:rsidR="00002353">
        <w:rPr>
          <w:rFonts w:ascii="Times New Roman" w:hAnsi="Times New Roman" w:cs="Times New Roman"/>
          <w:sz w:val="24"/>
          <w:szCs w:val="24"/>
        </w:rPr>
        <w:t xml:space="preserve">(1) </w:t>
      </w:r>
      <w:r w:rsidRPr="00535E09">
        <w:rPr>
          <w:rFonts w:ascii="Times New Roman" w:hAnsi="Times New Roman" w:cs="Times New Roman"/>
          <w:sz w:val="24"/>
          <w:szCs w:val="24"/>
        </w:rPr>
        <w:t>İmalatçı, ithalatçı veya yetkili temsilci test edildiğini algılayabilecek (örneğin, test koşullarını veya test döngüsünü tanıyarak) ve teknik dosya içerisindeki veya sağlanan herhangi bir dosya içeriğindeki parametrelerden herhangi biri için daha uygun bir seviyeye ulaşmak amacıyla test sırasında otomatik olarak performansını değiştirerek belirli bir biçimde tepki verecek şekilde tasarlanan ürünleri piyasaya arz edemez.”</w:t>
      </w:r>
    </w:p>
    <w:p w14:paraId="2344EB4A" w14:textId="25CAF34F" w:rsidR="00BB60D8" w:rsidRPr="00695E31" w:rsidRDefault="00BB60D8" w:rsidP="00002353">
      <w:pPr>
        <w:spacing w:after="0" w:line="240" w:lineRule="auto"/>
        <w:rPr>
          <w:rFonts w:ascii="Times New Roman" w:hAnsi="Times New Roman" w:cs="Times New Roman"/>
          <w:color w:val="FF0000"/>
          <w:sz w:val="24"/>
          <w:szCs w:val="24"/>
        </w:rPr>
      </w:pPr>
    </w:p>
    <w:p w14:paraId="23E1F1C6" w14:textId="10767111" w:rsidR="00D27583" w:rsidRDefault="00244117" w:rsidP="00002353">
      <w:pPr>
        <w:spacing w:after="0" w:line="240" w:lineRule="auto"/>
        <w:rPr>
          <w:rFonts w:ascii="Times New Roman" w:hAnsi="Times New Roman" w:cs="Times New Roman"/>
          <w:sz w:val="24"/>
          <w:szCs w:val="24"/>
        </w:rPr>
      </w:pPr>
      <w:r w:rsidRPr="004235EB">
        <w:rPr>
          <w:rFonts w:ascii="Times New Roman" w:hAnsi="Times New Roman" w:cs="Times New Roman"/>
          <w:b/>
          <w:bCs/>
          <w:sz w:val="24"/>
          <w:szCs w:val="24"/>
        </w:rPr>
        <w:t>MADDE 3</w:t>
      </w:r>
      <w:r w:rsidRPr="004235EB">
        <w:rPr>
          <w:rFonts w:ascii="Times New Roman" w:hAnsi="Times New Roman" w:cs="Times New Roman"/>
          <w:sz w:val="24"/>
          <w:szCs w:val="24"/>
        </w:rPr>
        <w:t xml:space="preserve"> – Aynı Tebliğin </w:t>
      </w:r>
      <w:r w:rsidR="007C547B" w:rsidRPr="004235EB">
        <w:rPr>
          <w:rFonts w:ascii="Times New Roman" w:hAnsi="Times New Roman" w:cs="Times New Roman"/>
          <w:sz w:val="24"/>
          <w:szCs w:val="24"/>
        </w:rPr>
        <w:t>E</w:t>
      </w:r>
      <w:r w:rsidR="00AD4BF5">
        <w:rPr>
          <w:rFonts w:ascii="Times New Roman" w:hAnsi="Times New Roman" w:cs="Times New Roman"/>
          <w:sz w:val="24"/>
          <w:szCs w:val="24"/>
        </w:rPr>
        <w:t>K</w:t>
      </w:r>
      <w:r w:rsidRPr="004235EB">
        <w:rPr>
          <w:rFonts w:ascii="Times New Roman" w:hAnsi="Times New Roman" w:cs="Times New Roman"/>
          <w:sz w:val="24"/>
          <w:szCs w:val="24"/>
        </w:rPr>
        <w:t>-</w:t>
      </w:r>
      <w:proofErr w:type="spellStart"/>
      <w:r w:rsidR="00861751" w:rsidRPr="004235EB">
        <w:rPr>
          <w:rFonts w:ascii="Times New Roman" w:hAnsi="Times New Roman" w:cs="Times New Roman"/>
          <w:sz w:val="24"/>
          <w:szCs w:val="24"/>
        </w:rPr>
        <w:t>I</w:t>
      </w:r>
      <w:r w:rsidRPr="004235EB">
        <w:rPr>
          <w:rFonts w:ascii="Times New Roman" w:hAnsi="Times New Roman" w:cs="Times New Roman"/>
          <w:sz w:val="24"/>
          <w:szCs w:val="24"/>
        </w:rPr>
        <w:t>’</w:t>
      </w:r>
      <w:r w:rsidR="00454BFF" w:rsidRPr="004235EB">
        <w:rPr>
          <w:rFonts w:ascii="Times New Roman" w:hAnsi="Times New Roman" w:cs="Times New Roman"/>
          <w:sz w:val="24"/>
          <w:szCs w:val="24"/>
        </w:rPr>
        <w:t>inin</w:t>
      </w:r>
      <w:proofErr w:type="spellEnd"/>
      <w:r w:rsidR="00D27583">
        <w:rPr>
          <w:rFonts w:ascii="Times New Roman" w:hAnsi="Times New Roman" w:cs="Times New Roman"/>
          <w:sz w:val="24"/>
          <w:szCs w:val="24"/>
        </w:rPr>
        <w:t xml:space="preserve"> (</w:t>
      </w:r>
      <w:r w:rsidR="00454BFF" w:rsidRPr="004235EB">
        <w:rPr>
          <w:rFonts w:ascii="Times New Roman" w:hAnsi="Times New Roman" w:cs="Times New Roman"/>
          <w:sz w:val="24"/>
          <w:szCs w:val="24"/>
        </w:rPr>
        <w:t>c</w:t>
      </w:r>
      <w:r w:rsidR="00D27583">
        <w:rPr>
          <w:rFonts w:ascii="Times New Roman" w:hAnsi="Times New Roman" w:cs="Times New Roman"/>
          <w:sz w:val="24"/>
          <w:szCs w:val="24"/>
        </w:rPr>
        <w:t xml:space="preserve">), (ç) ve (d) bentleri aşağıdaki şekilde değiştirilmiş, aynı </w:t>
      </w:r>
      <w:proofErr w:type="spellStart"/>
      <w:r w:rsidR="00D27583">
        <w:rPr>
          <w:rFonts w:ascii="Times New Roman" w:hAnsi="Times New Roman" w:cs="Times New Roman"/>
          <w:sz w:val="24"/>
          <w:szCs w:val="24"/>
        </w:rPr>
        <w:t>Ek</w:t>
      </w:r>
      <w:r w:rsidR="00BA09F9">
        <w:rPr>
          <w:rFonts w:ascii="Times New Roman" w:hAnsi="Times New Roman" w:cs="Times New Roman"/>
          <w:sz w:val="24"/>
          <w:szCs w:val="24"/>
        </w:rPr>
        <w:t>’</w:t>
      </w:r>
      <w:r w:rsidR="002D0FC7">
        <w:rPr>
          <w:rFonts w:ascii="Times New Roman" w:hAnsi="Times New Roman" w:cs="Times New Roman"/>
          <w:sz w:val="24"/>
          <w:szCs w:val="24"/>
        </w:rPr>
        <w:t>in</w:t>
      </w:r>
      <w:proofErr w:type="spellEnd"/>
      <w:r w:rsidR="002D0FC7">
        <w:rPr>
          <w:rFonts w:ascii="Times New Roman" w:hAnsi="Times New Roman" w:cs="Times New Roman"/>
          <w:sz w:val="24"/>
          <w:szCs w:val="24"/>
        </w:rPr>
        <w:t xml:space="preserve"> sonuna</w:t>
      </w:r>
      <w:r w:rsidR="00D27583">
        <w:rPr>
          <w:rFonts w:ascii="Times New Roman" w:hAnsi="Times New Roman" w:cs="Times New Roman"/>
          <w:sz w:val="24"/>
          <w:szCs w:val="24"/>
        </w:rPr>
        <w:t xml:space="preserve"> aşağıdaki (</w:t>
      </w:r>
      <w:proofErr w:type="spellStart"/>
      <w:r w:rsidR="00D27583">
        <w:rPr>
          <w:rFonts w:ascii="Times New Roman" w:hAnsi="Times New Roman" w:cs="Times New Roman"/>
          <w:sz w:val="24"/>
          <w:szCs w:val="24"/>
        </w:rPr>
        <w:t>ff</w:t>
      </w:r>
      <w:proofErr w:type="spellEnd"/>
      <w:r w:rsidR="00D27583">
        <w:rPr>
          <w:rFonts w:ascii="Times New Roman" w:hAnsi="Times New Roman" w:cs="Times New Roman"/>
          <w:sz w:val="24"/>
          <w:szCs w:val="24"/>
        </w:rPr>
        <w:t xml:space="preserve">) bendi </w:t>
      </w:r>
      <w:r w:rsidR="00D27583" w:rsidRPr="00CB1B99">
        <w:rPr>
          <w:rFonts w:ascii="Times New Roman" w:hAnsi="Times New Roman" w:cs="Times New Roman"/>
          <w:sz w:val="24"/>
          <w:szCs w:val="24"/>
        </w:rPr>
        <w:t>eklenmiştir</w:t>
      </w:r>
      <w:r w:rsidR="00D27583">
        <w:rPr>
          <w:rFonts w:ascii="Times New Roman" w:hAnsi="Times New Roman" w:cs="Times New Roman"/>
          <w:sz w:val="24"/>
          <w:szCs w:val="24"/>
        </w:rPr>
        <w:t>.</w:t>
      </w:r>
      <w:r w:rsidR="009345F4" w:rsidRPr="004235EB">
        <w:rPr>
          <w:rFonts w:ascii="Times New Roman" w:hAnsi="Times New Roman" w:cs="Times New Roman"/>
          <w:sz w:val="24"/>
          <w:szCs w:val="24"/>
        </w:rPr>
        <w:t xml:space="preserve"> </w:t>
      </w:r>
    </w:p>
    <w:p w14:paraId="4C2725AC" w14:textId="77777777" w:rsidR="00D27583" w:rsidRDefault="00D27583" w:rsidP="00002353">
      <w:pPr>
        <w:spacing w:after="0" w:line="240" w:lineRule="auto"/>
        <w:rPr>
          <w:rFonts w:ascii="Times New Roman" w:hAnsi="Times New Roman" w:cs="Times New Roman"/>
          <w:sz w:val="24"/>
          <w:szCs w:val="24"/>
        </w:rPr>
      </w:pPr>
    </w:p>
    <w:p w14:paraId="4EF7C351" w14:textId="16FF988B" w:rsidR="005E5CBE" w:rsidRPr="004235EB" w:rsidRDefault="005E5CBE" w:rsidP="00002353">
      <w:pPr>
        <w:spacing w:after="0" w:line="240" w:lineRule="auto"/>
        <w:rPr>
          <w:rFonts w:ascii="Times New Roman" w:hAnsi="Times New Roman" w:cs="Times New Roman"/>
          <w:sz w:val="24"/>
          <w:szCs w:val="24"/>
        </w:rPr>
      </w:pPr>
      <w:r w:rsidRPr="004235EB">
        <w:rPr>
          <w:rFonts w:ascii="Times New Roman" w:hAnsi="Times New Roman" w:cs="Times New Roman"/>
          <w:sz w:val="24"/>
          <w:szCs w:val="24"/>
        </w:rPr>
        <w:t>“</w:t>
      </w:r>
      <w:proofErr w:type="gramStart"/>
      <w:r w:rsidR="00D27583">
        <w:rPr>
          <w:rFonts w:ascii="Times New Roman" w:hAnsi="Times New Roman" w:cs="Times New Roman"/>
          <w:sz w:val="24"/>
          <w:szCs w:val="24"/>
        </w:rPr>
        <w:t>c</w:t>
      </w:r>
      <w:proofErr w:type="gramEnd"/>
      <w:r w:rsidR="00D27583">
        <w:rPr>
          <w:rFonts w:ascii="Times New Roman" w:hAnsi="Times New Roman" w:cs="Times New Roman"/>
          <w:sz w:val="24"/>
          <w:szCs w:val="24"/>
        </w:rPr>
        <w:t xml:space="preserve">) </w:t>
      </w:r>
      <w:proofErr w:type="spellStart"/>
      <w:r w:rsidRPr="004235EB">
        <w:rPr>
          <w:rFonts w:ascii="Times New Roman" w:hAnsi="Times New Roman" w:cs="Times New Roman"/>
          <w:sz w:val="24"/>
          <w:szCs w:val="24"/>
        </w:rPr>
        <w:t>Anakart</w:t>
      </w:r>
      <w:proofErr w:type="spellEnd"/>
      <w:r w:rsidRPr="004235EB">
        <w:rPr>
          <w:rFonts w:ascii="Times New Roman" w:hAnsi="Times New Roman" w:cs="Times New Roman"/>
          <w:sz w:val="24"/>
          <w:szCs w:val="24"/>
        </w:rPr>
        <w:t>: Sunucunun</w:t>
      </w:r>
      <w:r w:rsidR="00175F32" w:rsidRPr="004235EB">
        <w:rPr>
          <w:rFonts w:ascii="Times New Roman" w:hAnsi="Times New Roman" w:cs="Times New Roman"/>
          <w:sz w:val="24"/>
          <w:szCs w:val="24"/>
        </w:rPr>
        <w:t xml:space="preserve"> veya veri depolama ürününün</w:t>
      </w:r>
      <w:r w:rsidRPr="004235EB">
        <w:rPr>
          <w:rFonts w:ascii="Times New Roman" w:hAnsi="Times New Roman" w:cs="Times New Roman"/>
          <w:sz w:val="24"/>
          <w:szCs w:val="24"/>
        </w:rPr>
        <w:t xml:space="preserve"> temel devre kartıdır. </w:t>
      </w:r>
      <w:proofErr w:type="spellStart"/>
      <w:r w:rsidRPr="004235EB">
        <w:rPr>
          <w:rFonts w:ascii="Times New Roman" w:hAnsi="Times New Roman" w:cs="Times New Roman"/>
          <w:sz w:val="24"/>
          <w:szCs w:val="24"/>
        </w:rPr>
        <w:t>Anakart</w:t>
      </w:r>
      <w:proofErr w:type="spellEnd"/>
      <w:r w:rsidRPr="004235EB">
        <w:rPr>
          <w:rFonts w:ascii="Times New Roman" w:hAnsi="Times New Roman" w:cs="Times New Roman"/>
          <w:sz w:val="24"/>
          <w:szCs w:val="24"/>
        </w:rPr>
        <w:t xml:space="preserve">, bu Tebliğin amaçları bakımından, tali kartları bağlamak için </w:t>
      </w:r>
      <w:proofErr w:type="spellStart"/>
      <w:r w:rsidRPr="004235EB">
        <w:rPr>
          <w:rFonts w:ascii="Times New Roman" w:hAnsi="Times New Roman" w:cs="Times New Roman"/>
          <w:sz w:val="24"/>
          <w:szCs w:val="24"/>
        </w:rPr>
        <w:t>konnektörler</w:t>
      </w:r>
      <w:proofErr w:type="spellEnd"/>
      <w:r w:rsidRPr="004235EB">
        <w:rPr>
          <w:rFonts w:ascii="Times New Roman" w:hAnsi="Times New Roman" w:cs="Times New Roman"/>
          <w:sz w:val="24"/>
          <w:szCs w:val="24"/>
        </w:rPr>
        <w:t xml:space="preserve"> ve genellikle işlemci, bellek, BIOS ve genişletme soketleri içerir.”</w:t>
      </w:r>
    </w:p>
    <w:p w14:paraId="6B1830DD" w14:textId="394EE34A" w:rsidR="00D27583" w:rsidRDefault="00D27583" w:rsidP="00002353">
      <w:pPr>
        <w:spacing w:after="0" w:line="240" w:lineRule="auto"/>
        <w:rPr>
          <w:rFonts w:ascii="Times New Roman" w:hAnsi="Times New Roman" w:cs="Times New Roman"/>
          <w:sz w:val="24"/>
          <w:szCs w:val="24"/>
        </w:rPr>
      </w:pPr>
    </w:p>
    <w:p w14:paraId="177BD1EE" w14:textId="5D0DDF18" w:rsidR="00EC0133" w:rsidRDefault="00113C61" w:rsidP="0000235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D27583">
        <w:rPr>
          <w:rFonts w:ascii="Times New Roman" w:hAnsi="Times New Roman" w:cs="Times New Roman"/>
          <w:sz w:val="24"/>
          <w:szCs w:val="24"/>
        </w:rPr>
        <w:t>ç</w:t>
      </w:r>
      <w:proofErr w:type="gramEnd"/>
      <w:r w:rsidR="00D27583">
        <w:rPr>
          <w:rFonts w:ascii="Times New Roman" w:hAnsi="Times New Roman" w:cs="Times New Roman"/>
          <w:sz w:val="24"/>
          <w:szCs w:val="24"/>
        </w:rPr>
        <w:t xml:space="preserve">) </w:t>
      </w:r>
      <w:r w:rsidR="005B6216" w:rsidRPr="004235EB">
        <w:rPr>
          <w:rFonts w:ascii="Times New Roman" w:hAnsi="Times New Roman" w:cs="Times New Roman"/>
          <w:sz w:val="24"/>
          <w:szCs w:val="24"/>
        </w:rPr>
        <w:t>İşlemci: Sunucuyu</w:t>
      </w:r>
      <w:r w:rsidR="00AE5CFB" w:rsidRPr="004235EB">
        <w:rPr>
          <w:rFonts w:ascii="Times New Roman" w:hAnsi="Times New Roman" w:cs="Times New Roman"/>
          <w:sz w:val="24"/>
          <w:szCs w:val="24"/>
        </w:rPr>
        <w:t xml:space="preserve"> veya veri depolama ürününü</w:t>
      </w:r>
      <w:r w:rsidR="005B6216" w:rsidRPr="004235EB">
        <w:rPr>
          <w:rFonts w:ascii="Times New Roman" w:hAnsi="Times New Roman" w:cs="Times New Roman"/>
          <w:sz w:val="24"/>
          <w:szCs w:val="24"/>
        </w:rPr>
        <w:t xml:space="preserve"> çalıştıran temel komutları işleyen ve yanıtlayan lojik devre </w:t>
      </w:r>
      <w:r w:rsidR="005B6216" w:rsidRPr="00911EB5">
        <w:rPr>
          <w:rFonts w:ascii="Times New Roman" w:hAnsi="Times New Roman" w:cs="Times New Roman"/>
          <w:sz w:val="24"/>
          <w:szCs w:val="24"/>
        </w:rPr>
        <w:t>sistemidir. İşlemci, bu Tebliğin amaçları bakımından, sunucunun Merkezi İşlem Birimi (CPU)</w:t>
      </w:r>
      <w:r w:rsidR="002D0FC7">
        <w:rPr>
          <w:rFonts w:ascii="Times New Roman" w:hAnsi="Times New Roman" w:cs="Times New Roman"/>
          <w:sz w:val="24"/>
          <w:szCs w:val="24"/>
        </w:rPr>
        <w:t>’</w:t>
      </w:r>
      <w:proofErr w:type="spellStart"/>
      <w:r w:rsidR="005B6216" w:rsidRPr="00911EB5">
        <w:rPr>
          <w:rFonts w:ascii="Times New Roman" w:hAnsi="Times New Roman" w:cs="Times New Roman"/>
          <w:sz w:val="24"/>
          <w:szCs w:val="24"/>
        </w:rPr>
        <w:t>dir</w:t>
      </w:r>
      <w:proofErr w:type="spellEnd"/>
      <w:r w:rsidR="005B6216" w:rsidRPr="00911EB5">
        <w:rPr>
          <w:rFonts w:ascii="Times New Roman" w:hAnsi="Times New Roman" w:cs="Times New Roman"/>
          <w:sz w:val="24"/>
          <w:szCs w:val="24"/>
        </w:rPr>
        <w:t xml:space="preserve">. Sıradan bir CPU, bir soket ya da doğrudan lehim bağlantısıyla sunucu </w:t>
      </w:r>
      <w:proofErr w:type="spellStart"/>
      <w:r w:rsidR="005B6216" w:rsidRPr="00911EB5">
        <w:rPr>
          <w:rFonts w:ascii="Times New Roman" w:hAnsi="Times New Roman" w:cs="Times New Roman"/>
          <w:sz w:val="24"/>
          <w:szCs w:val="24"/>
        </w:rPr>
        <w:t>anakartı</w:t>
      </w:r>
      <w:proofErr w:type="spellEnd"/>
      <w:r w:rsidR="005B6216" w:rsidRPr="00911EB5">
        <w:rPr>
          <w:rFonts w:ascii="Times New Roman" w:hAnsi="Times New Roman" w:cs="Times New Roman"/>
          <w:sz w:val="24"/>
          <w:szCs w:val="24"/>
        </w:rPr>
        <w:t xml:space="preserve"> üzerine kurulmuş fiziksel bir pakettir. CPU paketi bir veya daha fazla işlemci çekirdeği içerebilir.</w:t>
      </w:r>
      <w:r>
        <w:rPr>
          <w:rFonts w:ascii="Times New Roman" w:hAnsi="Times New Roman" w:cs="Times New Roman"/>
          <w:sz w:val="24"/>
          <w:szCs w:val="24"/>
        </w:rPr>
        <w:t>”</w:t>
      </w:r>
    </w:p>
    <w:p w14:paraId="1D2AC011" w14:textId="77777777" w:rsidR="00D27583" w:rsidRDefault="00D27583" w:rsidP="00002353">
      <w:pPr>
        <w:spacing w:after="0" w:line="240" w:lineRule="auto"/>
        <w:rPr>
          <w:rFonts w:ascii="Times New Roman" w:hAnsi="Times New Roman" w:cs="Times New Roman"/>
          <w:sz w:val="24"/>
          <w:szCs w:val="24"/>
        </w:rPr>
      </w:pPr>
    </w:p>
    <w:p w14:paraId="6009D71F" w14:textId="7321CC58" w:rsidR="00D27583" w:rsidRDefault="005E0100" w:rsidP="0000235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D27583">
        <w:rPr>
          <w:rFonts w:ascii="Times New Roman" w:hAnsi="Times New Roman" w:cs="Times New Roman"/>
          <w:sz w:val="24"/>
          <w:szCs w:val="24"/>
        </w:rPr>
        <w:t>d</w:t>
      </w:r>
      <w:proofErr w:type="gramEnd"/>
      <w:r w:rsidR="00D27583">
        <w:rPr>
          <w:rFonts w:ascii="Times New Roman" w:hAnsi="Times New Roman" w:cs="Times New Roman"/>
          <w:sz w:val="24"/>
          <w:szCs w:val="24"/>
        </w:rPr>
        <w:t xml:space="preserve">) </w:t>
      </w:r>
      <w:r w:rsidRPr="005E0100">
        <w:rPr>
          <w:rFonts w:ascii="Times New Roman" w:hAnsi="Times New Roman" w:cs="Times New Roman"/>
          <w:sz w:val="24"/>
          <w:szCs w:val="24"/>
        </w:rPr>
        <w:t>Bellek: Gigabayt (GB) olarak ifade edilen, bilginin anında kullanılmak üzere işlemci tarafından depolandığı, işlemcinin dışında kalan bir sunucu</w:t>
      </w:r>
      <w:r w:rsidR="000F0994">
        <w:rPr>
          <w:rFonts w:ascii="Times New Roman" w:hAnsi="Times New Roman" w:cs="Times New Roman"/>
          <w:sz w:val="24"/>
          <w:szCs w:val="24"/>
        </w:rPr>
        <w:t xml:space="preserve"> veya veri depolama ürünü</w:t>
      </w:r>
      <w:r w:rsidRPr="005E0100">
        <w:rPr>
          <w:rFonts w:ascii="Times New Roman" w:hAnsi="Times New Roman" w:cs="Times New Roman"/>
          <w:sz w:val="24"/>
          <w:szCs w:val="24"/>
        </w:rPr>
        <w:t xml:space="preserve"> parçasıdır.</w:t>
      </w:r>
      <w:r>
        <w:rPr>
          <w:rFonts w:ascii="Times New Roman" w:hAnsi="Times New Roman" w:cs="Times New Roman"/>
          <w:sz w:val="24"/>
          <w:szCs w:val="24"/>
        </w:rPr>
        <w:t>”</w:t>
      </w:r>
    </w:p>
    <w:p w14:paraId="2A036FCF" w14:textId="77777777" w:rsidR="00D27583" w:rsidRDefault="00D27583" w:rsidP="00002353">
      <w:pPr>
        <w:spacing w:after="0" w:line="240" w:lineRule="auto"/>
        <w:rPr>
          <w:rFonts w:ascii="Times New Roman" w:hAnsi="Times New Roman" w:cs="Times New Roman"/>
          <w:sz w:val="24"/>
          <w:szCs w:val="24"/>
        </w:rPr>
      </w:pPr>
    </w:p>
    <w:p w14:paraId="0F7E1BBF" w14:textId="7834800B" w:rsidR="00E83F49" w:rsidRPr="00CB1B99" w:rsidRDefault="00A84A36" w:rsidP="00002353">
      <w:pPr>
        <w:spacing w:after="0" w:line="240" w:lineRule="auto"/>
        <w:rPr>
          <w:rFonts w:ascii="Times New Roman" w:hAnsi="Times New Roman" w:cs="Times New Roman"/>
          <w:sz w:val="24"/>
          <w:szCs w:val="24"/>
        </w:rPr>
      </w:pPr>
      <w:r w:rsidRPr="00CB1B99">
        <w:rPr>
          <w:rFonts w:ascii="Times New Roman" w:hAnsi="Times New Roman" w:cs="Times New Roman"/>
          <w:sz w:val="24"/>
          <w:szCs w:val="24"/>
        </w:rPr>
        <w:t>“</w:t>
      </w:r>
      <w:proofErr w:type="spellStart"/>
      <w:proofErr w:type="gramStart"/>
      <w:r w:rsidR="00CB1B99">
        <w:rPr>
          <w:rFonts w:ascii="Times New Roman" w:hAnsi="Times New Roman" w:cs="Times New Roman"/>
          <w:sz w:val="24"/>
          <w:szCs w:val="24"/>
        </w:rPr>
        <w:t>ff</w:t>
      </w:r>
      <w:proofErr w:type="spellEnd"/>
      <w:proofErr w:type="gramEnd"/>
      <w:r w:rsidR="00CB1B99">
        <w:rPr>
          <w:rFonts w:ascii="Times New Roman" w:hAnsi="Times New Roman" w:cs="Times New Roman"/>
          <w:sz w:val="24"/>
          <w:szCs w:val="24"/>
        </w:rPr>
        <w:t xml:space="preserve">) </w:t>
      </w:r>
      <w:r w:rsidRPr="00CB1B99">
        <w:rPr>
          <w:rFonts w:ascii="Times New Roman" w:hAnsi="Times New Roman" w:cs="Times New Roman"/>
          <w:sz w:val="24"/>
          <w:szCs w:val="24"/>
        </w:rPr>
        <w:t xml:space="preserve">Beyan edilen değerler: Bakanlık tarafından uygunluğun doğrulanması için </w:t>
      </w:r>
      <w:r w:rsidR="002D0FC7">
        <w:rPr>
          <w:rFonts w:ascii="Times New Roman" w:hAnsi="Times New Roman" w:cs="Times New Roman"/>
          <w:sz w:val="24"/>
          <w:szCs w:val="24"/>
        </w:rPr>
        <w:t xml:space="preserve">6 </w:t>
      </w:r>
      <w:proofErr w:type="spellStart"/>
      <w:r w:rsidR="002D0FC7">
        <w:rPr>
          <w:rFonts w:ascii="Times New Roman" w:hAnsi="Times New Roman" w:cs="Times New Roman"/>
          <w:sz w:val="24"/>
          <w:szCs w:val="24"/>
        </w:rPr>
        <w:t>ncı</w:t>
      </w:r>
      <w:proofErr w:type="spellEnd"/>
      <w:r w:rsidR="002D0FC7">
        <w:rPr>
          <w:rFonts w:ascii="Times New Roman" w:hAnsi="Times New Roman" w:cs="Times New Roman"/>
          <w:sz w:val="24"/>
          <w:szCs w:val="24"/>
        </w:rPr>
        <w:t xml:space="preserve"> madde</w:t>
      </w:r>
      <w:r w:rsidRPr="00CB1B99">
        <w:rPr>
          <w:rFonts w:ascii="Times New Roman" w:hAnsi="Times New Roman" w:cs="Times New Roman"/>
          <w:sz w:val="24"/>
          <w:szCs w:val="24"/>
        </w:rPr>
        <w:t xml:space="preserve"> uyarınca belirtilen, hesaplanan veya ölçülen teknik parametreler için</w:t>
      </w:r>
      <w:r w:rsidR="00DF5477" w:rsidRPr="00CB1B99">
        <w:rPr>
          <w:rFonts w:ascii="Times New Roman" w:hAnsi="Times New Roman" w:cs="Times New Roman"/>
          <w:sz w:val="24"/>
          <w:szCs w:val="24"/>
        </w:rPr>
        <w:t xml:space="preserve"> imalatçı, ithalatçı veya yetkili temsilci</w:t>
      </w:r>
      <w:r w:rsidRPr="00CB1B99">
        <w:rPr>
          <w:rFonts w:ascii="Times New Roman" w:hAnsi="Times New Roman" w:cs="Times New Roman"/>
          <w:sz w:val="24"/>
          <w:szCs w:val="24"/>
        </w:rPr>
        <w:t xml:space="preserve"> tarafından sağlanan değerlerdir.”</w:t>
      </w:r>
    </w:p>
    <w:p w14:paraId="303EC47B" w14:textId="77777777" w:rsidR="00454BFF" w:rsidRPr="00695E31" w:rsidRDefault="00454BFF" w:rsidP="00002353">
      <w:pPr>
        <w:spacing w:after="0" w:line="240" w:lineRule="auto"/>
        <w:rPr>
          <w:rFonts w:ascii="Times New Roman" w:hAnsi="Times New Roman" w:cs="Times New Roman"/>
          <w:color w:val="FF0000"/>
          <w:sz w:val="24"/>
          <w:szCs w:val="24"/>
        </w:rPr>
      </w:pPr>
    </w:p>
    <w:p w14:paraId="196248EB" w14:textId="609512EA" w:rsidR="00251348" w:rsidRDefault="00251348" w:rsidP="00002353">
      <w:pPr>
        <w:spacing w:after="0" w:line="240" w:lineRule="auto"/>
        <w:rPr>
          <w:rFonts w:ascii="Times New Roman" w:hAnsi="Times New Roman" w:cs="Times New Roman"/>
          <w:sz w:val="24"/>
          <w:szCs w:val="24"/>
        </w:rPr>
      </w:pPr>
      <w:r w:rsidRPr="00567A56">
        <w:rPr>
          <w:rFonts w:ascii="Times New Roman" w:hAnsi="Times New Roman" w:cs="Times New Roman"/>
          <w:b/>
          <w:bCs/>
          <w:sz w:val="24"/>
          <w:szCs w:val="24"/>
        </w:rPr>
        <w:t>MADDE 4</w:t>
      </w:r>
      <w:r w:rsidRPr="00567A56">
        <w:rPr>
          <w:rFonts w:ascii="Times New Roman" w:hAnsi="Times New Roman" w:cs="Times New Roman"/>
          <w:sz w:val="24"/>
          <w:szCs w:val="24"/>
        </w:rPr>
        <w:t xml:space="preserve"> – Aynı Tebliğin </w:t>
      </w:r>
      <w:r w:rsidR="007C547B" w:rsidRPr="00567A56">
        <w:rPr>
          <w:rFonts w:ascii="Times New Roman" w:hAnsi="Times New Roman" w:cs="Times New Roman"/>
          <w:sz w:val="24"/>
          <w:szCs w:val="24"/>
        </w:rPr>
        <w:t>E</w:t>
      </w:r>
      <w:r w:rsidR="00AD4BF5">
        <w:rPr>
          <w:rFonts w:ascii="Times New Roman" w:hAnsi="Times New Roman" w:cs="Times New Roman"/>
          <w:sz w:val="24"/>
          <w:szCs w:val="24"/>
        </w:rPr>
        <w:t>K</w:t>
      </w:r>
      <w:r w:rsidRPr="00567A56">
        <w:rPr>
          <w:rFonts w:ascii="Times New Roman" w:hAnsi="Times New Roman" w:cs="Times New Roman"/>
          <w:sz w:val="24"/>
          <w:szCs w:val="24"/>
        </w:rPr>
        <w:t>-</w:t>
      </w:r>
      <w:proofErr w:type="spellStart"/>
      <w:r w:rsidRPr="00567A56">
        <w:rPr>
          <w:rFonts w:ascii="Times New Roman" w:hAnsi="Times New Roman" w:cs="Times New Roman"/>
          <w:sz w:val="24"/>
          <w:szCs w:val="24"/>
        </w:rPr>
        <w:t>III’ün</w:t>
      </w:r>
      <w:r w:rsidR="00327CC0" w:rsidRPr="00567A56">
        <w:rPr>
          <w:rFonts w:ascii="Times New Roman" w:hAnsi="Times New Roman" w:cs="Times New Roman"/>
          <w:sz w:val="24"/>
          <w:szCs w:val="24"/>
        </w:rPr>
        <w:t>ün</w:t>
      </w:r>
      <w:proofErr w:type="spellEnd"/>
      <w:r w:rsidRPr="00567A56">
        <w:rPr>
          <w:rFonts w:ascii="Times New Roman" w:hAnsi="Times New Roman" w:cs="Times New Roman"/>
          <w:sz w:val="24"/>
          <w:szCs w:val="24"/>
        </w:rPr>
        <w:t xml:space="preserve"> </w:t>
      </w:r>
      <w:r w:rsidR="00327CC0" w:rsidRPr="00567A56">
        <w:rPr>
          <w:rFonts w:ascii="Times New Roman" w:hAnsi="Times New Roman" w:cs="Times New Roman"/>
          <w:sz w:val="24"/>
          <w:szCs w:val="24"/>
        </w:rPr>
        <w:t>1</w:t>
      </w:r>
      <w:r w:rsidR="00A07849" w:rsidRPr="00567A56">
        <w:rPr>
          <w:rFonts w:ascii="Times New Roman" w:hAnsi="Times New Roman" w:cs="Times New Roman"/>
          <w:sz w:val="24"/>
          <w:szCs w:val="24"/>
        </w:rPr>
        <w:t xml:space="preserve"> </w:t>
      </w:r>
      <w:r w:rsidR="00327CC0" w:rsidRPr="00567A56">
        <w:rPr>
          <w:rFonts w:ascii="Times New Roman" w:hAnsi="Times New Roman" w:cs="Times New Roman"/>
          <w:sz w:val="24"/>
          <w:szCs w:val="24"/>
        </w:rPr>
        <w:t>i</w:t>
      </w:r>
      <w:r w:rsidR="00C54DFC" w:rsidRPr="00567A56">
        <w:rPr>
          <w:rFonts w:ascii="Times New Roman" w:hAnsi="Times New Roman" w:cs="Times New Roman"/>
          <w:sz w:val="24"/>
          <w:szCs w:val="24"/>
        </w:rPr>
        <w:t>nci madde</w:t>
      </w:r>
      <w:r w:rsidR="00327CC0" w:rsidRPr="00567A56">
        <w:rPr>
          <w:rFonts w:ascii="Times New Roman" w:hAnsi="Times New Roman" w:cs="Times New Roman"/>
          <w:sz w:val="24"/>
          <w:szCs w:val="24"/>
        </w:rPr>
        <w:t>s</w:t>
      </w:r>
      <w:r w:rsidR="00C54DFC" w:rsidRPr="00567A56">
        <w:rPr>
          <w:rFonts w:ascii="Times New Roman" w:hAnsi="Times New Roman" w:cs="Times New Roman"/>
          <w:sz w:val="24"/>
          <w:szCs w:val="24"/>
        </w:rPr>
        <w:t>in</w:t>
      </w:r>
      <w:r w:rsidR="009D39A0">
        <w:rPr>
          <w:rFonts w:ascii="Times New Roman" w:hAnsi="Times New Roman" w:cs="Times New Roman"/>
          <w:sz w:val="24"/>
          <w:szCs w:val="24"/>
        </w:rPr>
        <w:t xml:space="preserve">in sonuna </w:t>
      </w:r>
      <w:r w:rsidR="00327CC0" w:rsidRPr="00567A56">
        <w:rPr>
          <w:rFonts w:ascii="Times New Roman" w:hAnsi="Times New Roman" w:cs="Times New Roman"/>
          <w:sz w:val="24"/>
          <w:szCs w:val="24"/>
        </w:rPr>
        <w:t xml:space="preserve">aşağıdaki </w:t>
      </w:r>
      <w:r w:rsidR="009D39A0">
        <w:rPr>
          <w:rFonts w:ascii="Times New Roman" w:hAnsi="Times New Roman" w:cs="Times New Roman"/>
          <w:sz w:val="24"/>
          <w:szCs w:val="24"/>
        </w:rPr>
        <w:t>cümle</w:t>
      </w:r>
      <w:r w:rsidR="00327CC0" w:rsidRPr="00567A56">
        <w:rPr>
          <w:rFonts w:ascii="Times New Roman" w:hAnsi="Times New Roman" w:cs="Times New Roman"/>
          <w:sz w:val="24"/>
          <w:szCs w:val="24"/>
        </w:rPr>
        <w:t xml:space="preserve"> e</w:t>
      </w:r>
      <w:r w:rsidR="00733512">
        <w:rPr>
          <w:rFonts w:ascii="Times New Roman" w:hAnsi="Times New Roman" w:cs="Times New Roman"/>
          <w:sz w:val="24"/>
          <w:szCs w:val="24"/>
        </w:rPr>
        <w:t>k</w:t>
      </w:r>
      <w:r w:rsidR="00327CC0" w:rsidRPr="00567A56">
        <w:rPr>
          <w:rFonts w:ascii="Times New Roman" w:hAnsi="Times New Roman" w:cs="Times New Roman"/>
          <w:sz w:val="24"/>
          <w:szCs w:val="24"/>
        </w:rPr>
        <w:t>lenmiştir.</w:t>
      </w:r>
    </w:p>
    <w:p w14:paraId="1E52AB8D" w14:textId="77777777" w:rsidR="009D39A0" w:rsidRPr="00567A56" w:rsidRDefault="009D39A0" w:rsidP="00002353">
      <w:pPr>
        <w:spacing w:after="0" w:line="240" w:lineRule="auto"/>
        <w:rPr>
          <w:rFonts w:ascii="Times New Roman" w:hAnsi="Times New Roman" w:cs="Times New Roman"/>
          <w:sz w:val="24"/>
          <w:szCs w:val="24"/>
        </w:rPr>
      </w:pPr>
    </w:p>
    <w:p w14:paraId="645BE8D0" w14:textId="4FAFB943" w:rsidR="00BB60D8" w:rsidRDefault="00BD127D" w:rsidP="00002353">
      <w:pPr>
        <w:spacing w:after="0" w:line="240" w:lineRule="auto"/>
        <w:rPr>
          <w:rFonts w:ascii="Times New Roman" w:hAnsi="Times New Roman" w:cs="Times New Roman"/>
          <w:sz w:val="24"/>
          <w:szCs w:val="24"/>
        </w:rPr>
      </w:pPr>
      <w:r w:rsidRPr="00567A56">
        <w:rPr>
          <w:rFonts w:ascii="Times New Roman" w:hAnsi="Times New Roman" w:cs="Times New Roman"/>
          <w:sz w:val="24"/>
          <w:szCs w:val="24"/>
        </w:rPr>
        <w:lastRenderedPageBreak/>
        <w:t xml:space="preserve">“Mevcut ilgili standartların </w:t>
      </w:r>
      <w:r w:rsidR="00E92E83" w:rsidRPr="00567A56">
        <w:rPr>
          <w:rFonts w:ascii="Times New Roman" w:hAnsi="Times New Roman" w:cs="Times New Roman"/>
          <w:sz w:val="24"/>
          <w:szCs w:val="24"/>
        </w:rPr>
        <w:t>bulunmaması halinde</w:t>
      </w:r>
      <w:r w:rsidRPr="00567A56">
        <w:rPr>
          <w:rFonts w:ascii="Times New Roman" w:hAnsi="Times New Roman" w:cs="Times New Roman"/>
          <w:sz w:val="24"/>
          <w:szCs w:val="24"/>
        </w:rPr>
        <w:t xml:space="preserve"> ve ilgili uyumlaştırılmış standartların referans</w:t>
      </w:r>
      <w:r w:rsidR="00E92E83" w:rsidRPr="00567A56">
        <w:rPr>
          <w:rFonts w:ascii="Times New Roman" w:hAnsi="Times New Roman" w:cs="Times New Roman"/>
          <w:sz w:val="24"/>
          <w:szCs w:val="24"/>
        </w:rPr>
        <w:t xml:space="preserve"> numaralarının</w:t>
      </w:r>
      <w:r w:rsidRPr="00567A56">
        <w:rPr>
          <w:rFonts w:ascii="Times New Roman" w:hAnsi="Times New Roman" w:cs="Times New Roman"/>
          <w:sz w:val="24"/>
          <w:szCs w:val="24"/>
        </w:rPr>
        <w:t xml:space="preserve"> </w:t>
      </w:r>
      <w:r w:rsidR="009D39A0">
        <w:rPr>
          <w:rFonts w:ascii="Times New Roman" w:hAnsi="Times New Roman" w:cs="Times New Roman"/>
          <w:sz w:val="24"/>
          <w:szCs w:val="24"/>
        </w:rPr>
        <w:t>A</w:t>
      </w:r>
      <w:r w:rsidR="00A829C6">
        <w:rPr>
          <w:rFonts w:ascii="Times New Roman" w:hAnsi="Times New Roman" w:cs="Times New Roman"/>
          <w:sz w:val="24"/>
          <w:szCs w:val="24"/>
        </w:rPr>
        <w:t xml:space="preserve">vrupa </w:t>
      </w:r>
      <w:r w:rsidR="009D39A0">
        <w:rPr>
          <w:rFonts w:ascii="Times New Roman" w:hAnsi="Times New Roman" w:cs="Times New Roman"/>
          <w:sz w:val="24"/>
          <w:szCs w:val="24"/>
        </w:rPr>
        <w:t>B</w:t>
      </w:r>
      <w:r w:rsidR="00A829C6">
        <w:rPr>
          <w:rFonts w:ascii="Times New Roman" w:hAnsi="Times New Roman" w:cs="Times New Roman"/>
          <w:sz w:val="24"/>
          <w:szCs w:val="24"/>
        </w:rPr>
        <w:t>irliği</w:t>
      </w:r>
      <w:r w:rsidR="009D39A0">
        <w:rPr>
          <w:rFonts w:ascii="Times New Roman" w:hAnsi="Times New Roman" w:cs="Times New Roman"/>
          <w:sz w:val="24"/>
          <w:szCs w:val="24"/>
        </w:rPr>
        <w:t xml:space="preserve"> </w:t>
      </w:r>
      <w:r w:rsidRPr="00567A56">
        <w:rPr>
          <w:rFonts w:ascii="Times New Roman" w:hAnsi="Times New Roman" w:cs="Times New Roman"/>
          <w:sz w:val="24"/>
          <w:szCs w:val="24"/>
        </w:rPr>
        <w:t>Resm</w:t>
      </w:r>
      <w:r w:rsidR="009D39A0" w:rsidRPr="002D6C15">
        <w:rPr>
          <w:rFonts w:ascii="Times New Roman" w:hAnsi="Times New Roman" w:cs="Times New Roman"/>
          <w:sz w:val="24"/>
          <w:szCs w:val="24"/>
        </w:rPr>
        <w:t>î</w:t>
      </w:r>
      <w:r w:rsidRPr="00567A56">
        <w:rPr>
          <w:rFonts w:ascii="Times New Roman" w:hAnsi="Times New Roman" w:cs="Times New Roman"/>
          <w:sz w:val="24"/>
          <w:szCs w:val="24"/>
        </w:rPr>
        <w:t xml:space="preserve"> </w:t>
      </w:r>
      <w:proofErr w:type="spellStart"/>
      <w:r w:rsidRPr="00567A56">
        <w:rPr>
          <w:rFonts w:ascii="Times New Roman" w:hAnsi="Times New Roman" w:cs="Times New Roman"/>
          <w:sz w:val="24"/>
          <w:szCs w:val="24"/>
        </w:rPr>
        <w:t>Gazete</w:t>
      </w:r>
      <w:r w:rsidR="009D39A0">
        <w:rPr>
          <w:rFonts w:ascii="Times New Roman" w:hAnsi="Times New Roman" w:cs="Times New Roman"/>
          <w:sz w:val="24"/>
          <w:szCs w:val="24"/>
        </w:rPr>
        <w:t>’sind</w:t>
      </w:r>
      <w:r w:rsidRPr="00567A56">
        <w:rPr>
          <w:rFonts w:ascii="Times New Roman" w:hAnsi="Times New Roman" w:cs="Times New Roman"/>
          <w:sz w:val="24"/>
          <w:szCs w:val="24"/>
        </w:rPr>
        <w:t>e</w:t>
      </w:r>
      <w:proofErr w:type="spellEnd"/>
      <w:r w:rsidRPr="00567A56">
        <w:rPr>
          <w:rFonts w:ascii="Times New Roman" w:hAnsi="Times New Roman" w:cs="Times New Roman"/>
          <w:sz w:val="24"/>
          <w:szCs w:val="24"/>
        </w:rPr>
        <w:t xml:space="preserve"> yayınlanmasına kadar, Ek </w:t>
      </w:r>
      <w:proofErr w:type="spellStart"/>
      <w:r w:rsidRPr="00567A56">
        <w:rPr>
          <w:rFonts w:ascii="Times New Roman" w:hAnsi="Times New Roman" w:cs="Times New Roman"/>
          <w:sz w:val="24"/>
          <w:szCs w:val="24"/>
        </w:rPr>
        <w:t>IIIa'da</w:t>
      </w:r>
      <w:proofErr w:type="spellEnd"/>
      <w:r w:rsidRPr="00567A56">
        <w:rPr>
          <w:rFonts w:ascii="Times New Roman" w:hAnsi="Times New Roman" w:cs="Times New Roman"/>
          <w:sz w:val="24"/>
          <w:szCs w:val="24"/>
        </w:rPr>
        <w:t xml:space="preserve"> belirtilen </w:t>
      </w:r>
      <w:r w:rsidR="00E92E83" w:rsidRPr="00567A56">
        <w:rPr>
          <w:rFonts w:ascii="Times New Roman" w:hAnsi="Times New Roman" w:cs="Times New Roman"/>
          <w:sz w:val="24"/>
          <w:szCs w:val="24"/>
        </w:rPr>
        <w:t>geçici</w:t>
      </w:r>
      <w:r w:rsidRPr="00567A56">
        <w:rPr>
          <w:rFonts w:ascii="Times New Roman" w:hAnsi="Times New Roman" w:cs="Times New Roman"/>
          <w:sz w:val="24"/>
          <w:szCs w:val="24"/>
        </w:rPr>
        <w:t xml:space="preserve"> test yöntemleri veya genel olarak </w:t>
      </w:r>
      <w:r w:rsidR="00E92E83" w:rsidRPr="00567A56">
        <w:rPr>
          <w:rFonts w:ascii="Times New Roman" w:hAnsi="Times New Roman" w:cs="Times New Roman"/>
          <w:sz w:val="24"/>
          <w:szCs w:val="24"/>
        </w:rPr>
        <w:t>tanınan, en son teknolojiyi</w:t>
      </w:r>
      <w:r w:rsidRPr="00567A56">
        <w:rPr>
          <w:rFonts w:ascii="Times New Roman" w:hAnsi="Times New Roman" w:cs="Times New Roman"/>
          <w:sz w:val="24"/>
          <w:szCs w:val="24"/>
        </w:rPr>
        <w:t xml:space="preserve"> dikkate alan diğer güvenilir, doğru ve tekrarlanabilir</w:t>
      </w:r>
      <w:r w:rsidR="00C748C2">
        <w:rPr>
          <w:rFonts w:ascii="Times New Roman" w:hAnsi="Times New Roman" w:cs="Times New Roman"/>
          <w:sz w:val="24"/>
          <w:szCs w:val="24"/>
        </w:rPr>
        <w:t xml:space="preserve"> yöntemler</w:t>
      </w:r>
      <w:r w:rsidRPr="00567A56">
        <w:rPr>
          <w:rFonts w:ascii="Times New Roman" w:hAnsi="Times New Roman" w:cs="Times New Roman"/>
          <w:sz w:val="24"/>
          <w:szCs w:val="24"/>
        </w:rPr>
        <w:t xml:space="preserve"> kullanıl</w:t>
      </w:r>
      <w:r w:rsidR="00A545D0" w:rsidRPr="00567A56">
        <w:rPr>
          <w:rFonts w:ascii="Times New Roman" w:hAnsi="Times New Roman" w:cs="Times New Roman"/>
          <w:sz w:val="24"/>
          <w:szCs w:val="24"/>
        </w:rPr>
        <w:t>ır</w:t>
      </w:r>
      <w:r w:rsidRPr="00567A56">
        <w:rPr>
          <w:rFonts w:ascii="Times New Roman" w:hAnsi="Times New Roman" w:cs="Times New Roman"/>
          <w:sz w:val="24"/>
          <w:szCs w:val="24"/>
        </w:rPr>
        <w:t>.”</w:t>
      </w:r>
    </w:p>
    <w:p w14:paraId="4DA2D600" w14:textId="77777777" w:rsidR="009D39A0" w:rsidRPr="00F54CCD" w:rsidRDefault="009D39A0" w:rsidP="00002353">
      <w:pPr>
        <w:spacing w:after="0" w:line="240" w:lineRule="auto"/>
        <w:rPr>
          <w:rFonts w:ascii="Times New Roman" w:hAnsi="Times New Roman" w:cs="Times New Roman"/>
          <w:sz w:val="24"/>
          <w:szCs w:val="24"/>
        </w:rPr>
      </w:pPr>
    </w:p>
    <w:p w14:paraId="2ACB7D0B" w14:textId="70806FBA" w:rsidR="00BB60D8" w:rsidRPr="00521345" w:rsidRDefault="000B4A7A" w:rsidP="00002353">
      <w:pPr>
        <w:spacing w:after="0" w:line="240" w:lineRule="auto"/>
        <w:rPr>
          <w:rFonts w:ascii="Times New Roman" w:hAnsi="Times New Roman" w:cs="Times New Roman"/>
          <w:sz w:val="24"/>
          <w:szCs w:val="24"/>
        </w:rPr>
      </w:pPr>
      <w:r w:rsidRPr="00521345">
        <w:rPr>
          <w:rFonts w:ascii="Times New Roman" w:hAnsi="Times New Roman" w:cs="Times New Roman"/>
          <w:b/>
          <w:bCs/>
          <w:sz w:val="24"/>
          <w:szCs w:val="24"/>
        </w:rPr>
        <w:t>MADDE 5</w:t>
      </w:r>
      <w:r w:rsidRPr="00521345">
        <w:rPr>
          <w:rFonts w:ascii="Times New Roman" w:hAnsi="Times New Roman" w:cs="Times New Roman"/>
          <w:sz w:val="24"/>
          <w:szCs w:val="24"/>
        </w:rPr>
        <w:t xml:space="preserve"> – Aynı Tebliğ</w:t>
      </w:r>
      <w:r w:rsidR="0082405E">
        <w:rPr>
          <w:rFonts w:ascii="Times New Roman" w:hAnsi="Times New Roman" w:cs="Times New Roman"/>
          <w:sz w:val="24"/>
          <w:szCs w:val="24"/>
        </w:rPr>
        <w:t>in E</w:t>
      </w:r>
      <w:r w:rsidR="00AD4BF5">
        <w:rPr>
          <w:rFonts w:ascii="Times New Roman" w:hAnsi="Times New Roman" w:cs="Times New Roman"/>
          <w:sz w:val="24"/>
          <w:szCs w:val="24"/>
        </w:rPr>
        <w:t>K</w:t>
      </w:r>
      <w:r w:rsidR="0082405E">
        <w:rPr>
          <w:rFonts w:ascii="Times New Roman" w:hAnsi="Times New Roman" w:cs="Times New Roman"/>
          <w:sz w:val="24"/>
          <w:szCs w:val="24"/>
        </w:rPr>
        <w:t>-</w:t>
      </w:r>
      <w:proofErr w:type="spellStart"/>
      <w:r w:rsidR="0082405E">
        <w:rPr>
          <w:rFonts w:ascii="Times New Roman" w:hAnsi="Times New Roman" w:cs="Times New Roman"/>
          <w:sz w:val="24"/>
          <w:szCs w:val="24"/>
        </w:rPr>
        <w:t>III’ünden</w:t>
      </w:r>
      <w:proofErr w:type="spellEnd"/>
      <w:r w:rsidR="0082405E">
        <w:rPr>
          <w:rFonts w:ascii="Times New Roman" w:hAnsi="Times New Roman" w:cs="Times New Roman"/>
          <w:sz w:val="24"/>
          <w:szCs w:val="24"/>
        </w:rPr>
        <w:t xml:space="preserve"> sonra gelmek üzere, </w:t>
      </w:r>
      <w:r w:rsidR="009D39A0">
        <w:rPr>
          <w:rFonts w:ascii="Times New Roman" w:hAnsi="Times New Roman" w:cs="Times New Roman"/>
          <w:sz w:val="24"/>
          <w:szCs w:val="24"/>
        </w:rPr>
        <w:t xml:space="preserve">bu Tebliğin Ek-1’inde yer alan </w:t>
      </w:r>
      <w:r w:rsidR="007C547B" w:rsidRPr="00521345">
        <w:rPr>
          <w:rFonts w:ascii="Times New Roman" w:hAnsi="Times New Roman" w:cs="Times New Roman"/>
          <w:sz w:val="24"/>
          <w:szCs w:val="24"/>
        </w:rPr>
        <w:t>E</w:t>
      </w:r>
      <w:r w:rsidR="00AD4BF5">
        <w:rPr>
          <w:rFonts w:ascii="Times New Roman" w:hAnsi="Times New Roman" w:cs="Times New Roman"/>
          <w:sz w:val="24"/>
          <w:szCs w:val="24"/>
        </w:rPr>
        <w:t>K</w:t>
      </w:r>
      <w:r w:rsidRPr="00521345">
        <w:rPr>
          <w:rFonts w:ascii="Times New Roman" w:hAnsi="Times New Roman" w:cs="Times New Roman"/>
          <w:sz w:val="24"/>
          <w:szCs w:val="24"/>
        </w:rPr>
        <w:t>-</w:t>
      </w:r>
      <w:proofErr w:type="spellStart"/>
      <w:r w:rsidRPr="00521345">
        <w:rPr>
          <w:rFonts w:ascii="Times New Roman" w:hAnsi="Times New Roman" w:cs="Times New Roman"/>
          <w:sz w:val="24"/>
          <w:szCs w:val="24"/>
        </w:rPr>
        <w:t>I</w:t>
      </w:r>
      <w:r w:rsidR="00611FBA" w:rsidRPr="00521345">
        <w:rPr>
          <w:rFonts w:ascii="Times New Roman" w:hAnsi="Times New Roman" w:cs="Times New Roman"/>
          <w:sz w:val="24"/>
          <w:szCs w:val="24"/>
        </w:rPr>
        <w:t>IIa</w:t>
      </w:r>
      <w:proofErr w:type="spellEnd"/>
      <w:r w:rsidR="00611FBA" w:rsidRPr="00521345">
        <w:rPr>
          <w:rFonts w:ascii="Times New Roman" w:hAnsi="Times New Roman" w:cs="Times New Roman"/>
          <w:sz w:val="24"/>
          <w:szCs w:val="24"/>
        </w:rPr>
        <w:t xml:space="preserve"> eklenmiştir</w:t>
      </w:r>
      <w:r w:rsidRPr="00521345">
        <w:rPr>
          <w:rFonts w:ascii="Times New Roman" w:hAnsi="Times New Roman" w:cs="Times New Roman"/>
          <w:sz w:val="24"/>
          <w:szCs w:val="24"/>
        </w:rPr>
        <w:t>.</w:t>
      </w:r>
    </w:p>
    <w:p w14:paraId="18D9FA48" w14:textId="77777777" w:rsidR="000B4A7A" w:rsidRPr="00695E31" w:rsidRDefault="000B4A7A" w:rsidP="00002353">
      <w:pPr>
        <w:spacing w:after="0" w:line="240" w:lineRule="auto"/>
        <w:rPr>
          <w:rFonts w:ascii="Times New Roman" w:hAnsi="Times New Roman" w:cs="Times New Roman"/>
          <w:color w:val="FF0000"/>
          <w:sz w:val="24"/>
          <w:szCs w:val="24"/>
        </w:rPr>
      </w:pPr>
    </w:p>
    <w:p w14:paraId="12D68F57" w14:textId="6E49A517" w:rsidR="0055683D" w:rsidRPr="00BC5555" w:rsidRDefault="00502248" w:rsidP="0099579D">
      <w:pPr>
        <w:spacing w:after="0" w:line="240" w:lineRule="auto"/>
        <w:rPr>
          <w:rFonts w:ascii="Times New Roman" w:hAnsi="Times New Roman" w:cs="Times New Roman"/>
          <w:sz w:val="24"/>
          <w:szCs w:val="24"/>
        </w:rPr>
      </w:pPr>
      <w:r w:rsidRPr="00464119">
        <w:rPr>
          <w:rFonts w:ascii="Times New Roman" w:hAnsi="Times New Roman" w:cs="Times New Roman"/>
          <w:b/>
          <w:color w:val="000000" w:themeColor="text1"/>
          <w:sz w:val="24"/>
          <w:szCs w:val="24"/>
        </w:rPr>
        <w:t>MADDE 6</w:t>
      </w:r>
      <w:r w:rsidRPr="00464119">
        <w:rPr>
          <w:rFonts w:ascii="Times New Roman" w:hAnsi="Times New Roman" w:cs="Times New Roman"/>
          <w:color w:val="000000" w:themeColor="text1"/>
          <w:sz w:val="24"/>
          <w:szCs w:val="24"/>
        </w:rPr>
        <w:t xml:space="preserve"> –</w:t>
      </w:r>
      <w:r w:rsidR="008519B0" w:rsidRPr="00464119">
        <w:rPr>
          <w:rFonts w:ascii="Times New Roman" w:hAnsi="Times New Roman" w:cs="Times New Roman"/>
          <w:color w:val="000000" w:themeColor="text1"/>
          <w:sz w:val="24"/>
          <w:szCs w:val="24"/>
        </w:rPr>
        <w:t xml:space="preserve">Aynı Tebliğin </w:t>
      </w:r>
      <w:r w:rsidR="007C547B" w:rsidRPr="00464119">
        <w:rPr>
          <w:rFonts w:ascii="Times New Roman" w:hAnsi="Times New Roman" w:cs="Times New Roman"/>
          <w:color w:val="000000" w:themeColor="text1"/>
          <w:sz w:val="24"/>
          <w:szCs w:val="24"/>
        </w:rPr>
        <w:t>E</w:t>
      </w:r>
      <w:r w:rsidR="00AD4BF5">
        <w:rPr>
          <w:rFonts w:ascii="Times New Roman" w:hAnsi="Times New Roman" w:cs="Times New Roman"/>
          <w:color w:val="000000" w:themeColor="text1"/>
          <w:sz w:val="24"/>
          <w:szCs w:val="24"/>
        </w:rPr>
        <w:t>K</w:t>
      </w:r>
      <w:r w:rsidR="008519B0" w:rsidRPr="00464119">
        <w:rPr>
          <w:rFonts w:ascii="Times New Roman" w:hAnsi="Times New Roman" w:cs="Times New Roman"/>
          <w:color w:val="000000" w:themeColor="text1"/>
          <w:sz w:val="24"/>
          <w:szCs w:val="24"/>
        </w:rPr>
        <w:t>-</w:t>
      </w:r>
      <w:proofErr w:type="spellStart"/>
      <w:r w:rsidR="008519B0" w:rsidRPr="00464119">
        <w:rPr>
          <w:rFonts w:ascii="Times New Roman" w:hAnsi="Times New Roman" w:cs="Times New Roman"/>
          <w:color w:val="000000" w:themeColor="text1"/>
          <w:sz w:val="24"/>
          <w:szCs w:val="24"/>
        </w:rPr>
        <w:t>I</w:t>
      </w:r>
      <w:r w:rsidR="0087160A" w:rsidRPr="00464119">
        <w:rPr>
          <w:rFonts w:ascii="Times New Roman" w:hAnsi="Times New Roman" w:cs="Times New Roman"/>
          <w:color w:val="000000" w:themeColor="text1"/>
          <w:sz w:val="24"/>
          <w:szCs w:val="24"/>
        </w:rPr>
        <w:t>V</w:t>
      </w:r>
      <w:r w:rsidR="008519B0" w:rsidRPr="00464119">
        <w:rPr>
          <w:rFonts w:ascii="Times New Roman" w:hAnsi="Times New Roman" w:cs="Times New Roman"/>
          <w:color w:val="000000" w:themeColor="text1"/>
          <w:sz w:val="24"/>
          <w:szCs w:val="24"/>
        </w:rPr>
        <w:t>’</w:t>
      </w:r>
      <w:r w:rsidR="0087160A" w:rsidRPr="00464119">
        <w:rPr>
          <w:rFonts w:ascii="Times New Roman" w:hAnsi="Times New Roman" w:cs="Times New Roman"/>
          <w:color w:val="000000" w:themeColor="text1"/>
          <w:sz w:val="24"/>
          <w:szCs w:val="24"/>
        </w:rPr>
        <w:t>ü</w:t>
      </w:r>
      <w:proofErr w:type="spellEnd"/>
      <w:r w:rsidR="007C547B">
        <w:rPr>
          <w:rFonts w:ascii="Times New Roman" w:hAnsi="Times New Roman" w:cs="Times New Roman"/>
          <w:color w:val="000000" w:themeColor="text1"/>
          <w:sz w:val="24"/>
          <w:szCs w:val="24"/>
        </w:rPr>
        <w:t>,</w:t>
      </w:r>
      <w:r w:rsidR="004F2BB0" w:rsidRPr="004F2BB0">
        <w:rPr>
          <w:rFonts w:ascii="Times New Roman" w:hAnsi="Times New Roman" w:cs="Times New Roman"/>
          <w:sz w:val="24"/>
          <w:szCs w:val="24"/>
        </w:rPr>
        <w:t xml:space="preserve"> </w:t>
      </w:r>
      <w:r w:rsidR="004F2BB0">
        <w:rPr>
          <w:rFonts w:ascii="Times New Roman" w:hAnsi="Times New Roman" w:cs="Times New Roman"/>
          <w:sz w:val="24"/>
          <w:szCs w:val="24"/>
        </w:rPr>
        <w:t>bu Tebliğin Ek-2’sinde yer alan şekilde değiştirilmiştir.</w:t>
      </w:r>
    </w:p>
    <w:p w14:paraId="3CD8F1FE" w14:textId="77777777" w:rsidR="0082405E" w:rsidRDefault="0082405E" w:rsidP="00002353">
      <w:pPr>
        <w:spacing w:after="0" w:line="240" w:lineRule="auto"/>
        <w:rPr>
          <w:rFonts w:ascii="Times New Roman" w:hAnsi="Times New Roman" w:cs="Times New Roman"/>
          <w:color w:val="FF0000"/>
          <w:sz w:val="24"/>
          <w:szCs w:val="24"/>
        </w:rPr>
      </w:pPr>
    </w:p>
    <w:p w14:paraId="0DE683C0" w14:textId="23D3F70D" w:rsidR="007F14A2" w:rsidRPr="00994F9E" w:rsidRDefault="007F14A2" w:rsidP="00002353">
      <w:pPr>
        <w:spacing w:after="0" w:line="240" w:lineRule="auto"/>
        <w:rPr>
          <w:rFonts w:ascii="Times New Roman" w:hAnsi="Times New Roman" w:cs="Times New Roman"/>
          <w:sz w:val="24"/>
          <w:szCs w:val="24"/>
        </w:rPr>
      </w:pPr>
      <w:r w:rsidRPr="00994F9E">
        <w:rPr>
          <w:rFonts w:ascii="Times New Roman" w:hAnsi="Times New Roman" w:cs="Times New Roman"/>
          <w:b/>
          <w:sz w:val="24"/>
          <w:szCs w:val="24"/>
        </w:rPr>
        <w:t xml:space="preserve">MADDE </w:t>
      </w:r>
      <w:r w:rsidR="0003771B">
        <w:rPr>
          <w:rFonts w:ascii="Times New Roman" w:hAnsi="Times New Roman" w:cs="Times New Roman"/>
          <w:b/>
          <w:sz w:val="24"/>
          <w:szCs w:val="24"/>
        </w:rPr>
        <w:t>7</w:t>
      </w:r>
      <w:r w:rsidRPr="00994F9E">
        <w:rPr>
          <w:rFonts w:ascii="Times New Roman" w:hAnsi="Times New Roman" w:cs="Times New Roman"/>
          <w:sz w:val="24"/>
          <w:szCs w:val="24"/>
        </w:rPr>
        <w:t xml:space="preserve"> – Bu Tebliğ yayımı tarihinde yürürlüğe girer.</w:t>
      </w:r>
    </w:p>
    <w:p w14:paraId="5F591505" w14:textId="77777777" w:rsidR="007F14A2" w:rsidRPr="00994F9E" w:rsidRDefault="007F14A2" w:rsidP="00002353">
      <w:pPr>
        <w:spacing w:after="0" w:line="240" w:lineRule="auto"/>
        <w:rPr>
          <w:rFonts w:ascii="Times New Roman" w:hAnsi="Times New Roman" w:cs="Times New Roman"/>
          <w:sz w:val="24"/>
          <w:szCs w:val="24"/>
        </w:rPr>
      </w:pPr>
    </w:p>
    <w:p w14:paraId="77884A76" w14:textId="15B970B6" w:rsidR="007F14A2" w:rsidRPr="00994F9E" w:rsidRDefault="007F14A2" w:rsidP="00002353">
      <w:pPr>
        <w:spacing w:after="0" w:line="240" w:lineRule="auto"/>
        <w:rPr>
          <w:rFonts w:ascii="Times New Roman" w:hAnsi="Times New Roman" w:cs="Times New Roman"/>
          <w:sz w:val="24"/>
          <w:szCs w:val="24"/>
        </w:rPr>
      </w:pPr>
      <w:r w:rsidRPr="00994F9E">
        <w:rPr>
          <w:rFonts w:ascii="Times New Roman" w:hAnsi="Times New Roman" w:cs="Times New Roman"/>
          <w:b/>
          <w:sz w:val="24"/>
          <w:szCs w:val="24"/>
        </w:rPr>
        <w:t xml:space="preserve">MADDE </w:t>
      </w:r>
      <w:r w:rsidR="0003771B">
        <w:rPr>
          <w:rFonts w:ascii="Times New Roman" w:hAnsi="Times New Roman" w:cs="Times New Roman"/>
          <w:b/>
          <w:sz w:val="24"/>
          <w:szCs w:val="24"/>
        </w:rPr>
        <w:t>8</w:t>
      </w:r>
      <w:r w:rsidRPr="00994F9E">
        <w:rPr>
          <w:rFonts w:ascii="Times New Roman" w:hAnsi="Times New Roman" w:cs="Times New Roman"/>
          <w:sz w:val="24"/>
          <w:szCs w:val="24"/>
        </w:rPr>
        <w:t xml:space="preserve"> – Bu Tebliğ hükümlerini Sanayi ve Teknoloji Bakanı yürütür.</w:t>
      </w:r>
    </w:p>
    <w:p w14:paraId="429D956A" w14:textId="77777777" w:rsidR="007F14A2" w:rsidRPr="00695E31" w:rsidRDefault="007F14A2" w:rsidP="00002353">
      <w:pPr>
        <w:spacing w:after="0" w:line="240" w:lineRule="auto"/>
        <w:rPr>
          <w:rFonts w:ascii="Times New Roman" w:hAnsi="Times New Roman" w:cs="Times New Roman"/>
          <w:color w:val="FF0000"/>
          <w:sz w:val="24"/>
          <w:szCs w:val="24"/>
        </w:rPr>
      </w:pPr>
    </w:p>
    <w:p w14:paraId="3279E9C9" w14:textId="137AA976" w:rsidR="007F14A2" w:rsidRDefault="007F14A2" w:rsidP="00002353">
      <w:pPr>
        <w:spacing w:after="0" w:line="240" w:lineRule="auto"/>
        <w:rPr>
          <w:rFonts w:ascii="Times New Roman" w:hAnsi="Times New Roman" w:cs="Times New Roman"/>
          <w:color w:val="FF0000"/>
          <w:sz w:val="24"/>
          <w:szCs w:val="24"/>
        </w:rPr>
      </w:pPr>
    </w:p>
    <w:p w14:paraId="63C3C518" w14:textId="77777777" w:rsidR="00636883" w:rsidRPr="00695E31" w:rsidRDefault="00636883" w:rsidP="00002353">
      <w:pPr>
        <w:spacing w:after="0" w:line="240" w:lineRule="auto"/>
        <w:rPr>
          <w:rFonts w:ascii="Times New Roman" w:hAnsi="Times New Roman" w:cs="Times New Roman"/>
          <w:color w:val="FF000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
        <w:gridCol w:w="3491"/>
        <w:gridCol w:w="3600"/>
      </w:tblGrid>
      <w:tr w:rsidR="007F14A2" w:rsidRPr="007F14A2" w14:paraId="475317FF" w14:textId="77777777" w:rsidTr="007F14A2">
        <w:trPr>
          <w:jc w:val="center"/>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0A9B8A" w14:textId="77777777" w:rsidR="007F14A2" w:rsidRPr="007F14A2" w:rsidRDefault="007F14A2" w:rsidP="00002353">
            <w:pPr>
              <w:spacing w:after="0" w:line="240" w:lineRule="auto"/>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 </w:t>
            </w:r>
          </w:p>
        </w:tc>
        <w:tc>
          <w:tcPr>
            <w:tcW w:w="70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FDB69A" w14:textId="77777777" w:rsidR="007F14A2" w:rsidRPr="007F14A2" w:rsidRDefault="007F14A2" w:rsidP="00002353">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Tebliğin Yayımlandığı Resmî Gazete’nin</w:t>
            </w:r>
          </w:p>
        </w:tc>
      </w:tr>
      <w:tr w:rsidR="007F14A2" w:rsidRPr="007F14A2" w14:paraId="32E7EDF1" w14:textId="77777777" w:rsidTr="007F14A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9CC7A9C" w14:textId="77777777" w:rsidR="007F14A2" w:rsidRPr="007F14A2" w:rsidRDefault="007F14A2" w:rsidP="00002353">
            <w:pPr>
              <w:spacing w:after="0" w:line="240"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89EDF" w14:textId="77777777" w:rsidR="007F14A2" w:rsidRPr="007F14A2" w:rsidRDefault="007F14A2" w:rsidP="00002353">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38F93" w14:textId="77777777" w:rsidR="007F14A2" w:rsidRPr="007F14A2" w:rsidRDefault="007F14A2" w:rsidP="00002353">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Sayısı</w:t>
            </w:r>
          </w:p>
        </w:tc>
      </w:tr>
      <w:tr w:rsidR="007F14A2" w:rsidRPr="007F14A2" w14:paraId="4E3E16E1" w14:textId="77777777" w:rsidTr="007F14A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A013D7" w14:textId="77777777" w:rsidR="007F14A2" w:rsidRPr="007F14A2" w:rsidRDefault="007F14A2" w:rsidP="00002353">
            <w:pPr>
              <w:spacing w:after="0" w:line="240"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5D80D" w14:textId="77777777" w:rsidR="007F14A2" w:rsidRPr="007F14A2" w:rsidRDefault="007F14A2" w:rsidP="00002353">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25/3/2021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E465C" w14:textId="77777777" w:rsidR="007F14A2" w:rsidRPr="007F14A2" w:rsidRDefault="007F14A2" w:rsidP="00002353">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31434 (Mükerrer)</w:t>
            </w:r>
          </w:p>
        </w:tc>
      </w:tr>
      <w:tr w:rsidR="007F14A2" w:rsidRPr="007F14A2" w14:paraId="3074691E" w14:textId="77777777" w:rsidTr="007F14A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F009F50" w14:textId="77777777" w:rsidR="007F14A2" w:rsidRPr="007F14A2" w:rsidRDefault="007F14A2" w:rsidP="00002353">
            <w:pPr>
              <w:spacing w:after="0" w:line="240" w:lineRule="auto"/>
              <w:jc w:val="left"/>
              <w:rPr>
                <w:rFonts w:ascii="Times New Roman" w:hAnsi="Times New Roman" w:cs="Times New Roman"/>
                <w:color w:val="000000" w:themeColor="text1"/>
                <w:sz w:val="24"/>
                <w:szCs w:val="24"/>
              </w:rPr>
            </w:pPr>
          </w:p>
        </w:tc>
        <w:tc>
          <w:tcPr>
            <w:tcW w:w="70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C9748" w14:textId="77777777" w:rsidR="007F14A2" w:rsidRPr="007F14A2" w:rsidRDefault="007F14A2" w:rsidP="00002353">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Yönetmelikte Değişiklik Yapan Yönetmeliklerin Yayımlandığı Resmî Gazetelerin</w:t>
            </w:r>
          </w:p>
        </w:tc>
      </w:tr>
      <w:tr w:rsidR="007F14A2" w:rsidRPr="007F14A2" w14:paraId="4675CE01" w14:textId="77777777" w:rsidTr="007F14A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F17411" w14:textId="77777777" w:rsidR="007F14A2" w:rsidRPr="007F14A2" w:rsidRDefault="007F14A2" w:rsidP="00002353">
            <w:pPr>
              <w:spacing w:after="0" w:line="240"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EBE04" w14:textId="77777777" w:rsidR="007F14A2" w:rsidRPr="007F14A2" w:rsidRDefault="007F14A2" w:rsidP="00002353">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C7373" w14:textId="77777777" w:rsidR="007F14A2" w:rsidRPr="007F14A2" w:rsidRDefault="007F14A2" w:rsidP="00002353">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Sayısı</w:t>
            </w:r>
          </w:p>
        </w:tc>
      </w:tr>
      <w:tr w:rsidR="007F14A2" w:rsidRPr="007F14A2" w14:paraId="388CF0BD" w14:textId="77777777" w:rsidTr="007F14A2">
        <w:trPr>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CE44A" w14:textId="77777777" w:rsidR="007F14A2" w:rsidRPr="007F14A2" w:rsidRDefault="007F14A2" w:rsidP="00002353">
            <w:pPr>
              <w:spacing w:after="0" w:line="240" w:lineRule="auto"/>
              <w:ind w:left="397" w:hanging="340"/>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1.</w:t>
            </w: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C7EC23F" w14:textId="77777777" w:rsidR="007F14A2" w:rsidRPr="007F14A2" w:rsidRDefault="007F14A2" w:rsidP="00002353">
            <w:pPr>
              <w:spacing w:after="0" w:line="240" w:lineRule="auto"/>
              <w:jc w:val="center"/>
              <w:rPr>
                <w:rFonts w:ascii="Times New Roman" w:hAnsi="Times New Roman" w:cs="Times New Roman"/>
                <w:color w:val="000000" w:themeColor="text1"/>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EE327" w14:textId="77777777" w:rsidR="007F14A2" w:rsidRPr="007F14A2" w:rsidRDefault="007F14A2" w:rsidP="00002353">
            <w:pPr>
              <w:spacing w:after="0" w:line="240" w:lineRule="auto"/>
              <w:jc w:val="center"/>
              <w:rPr>
                <w:rFonts w:ascii="Times New Roman" w:hAnsi="Times New Roman" w:cs="Times New Roman"/>
                <w:color w:val="000000" w:themeColor="text1"/>
                <w:sz w:val="24"/>
                <w:szCs w:val="24"/>
              </w:rPr>
            </w:pPr>
          </w:p>
        </w:tc>
      </w:tr>
    </w:tbl>
    <w:p w14:paraId="0766C04A" w14:textId="3578D1D6" w:rsidR="009D39A0" w:rsidRDefault="009D39A0" w:rsidP="00002353">
      <w:pPr>
        <w:spacing w:after="0" w:line="240" w:lineRule="auto"/>
        <w:rPr>
          <w:rFonts w:ascii="Times New Roman" w:hAnsi="Times New Roman" w:cs="Times New Roman"/>
          <w:sz w:val="24"/>
          <w:szCs w:val="24"/>
        </w:rPr>
      </w:pPr>
    </w:p>
    <w:p w14:paraId="7716E05F" w14:textId="26A211BB" w:rsidR="009D39A0" w:rsidRDefault="009D39A0" w:rsidP="00002353">
      <w:pPr>
        <w:spacing w:after="0" w:line="240" w:lineRule="auto"/>
        <w:rPr>
          <w:rFonts w:ascii="Times New Roman" w:hAnsi="Times New Roman" w:cs="Times New Roman"/>
          <w:sz w:val="24"/>
          <w:szCs w:val="24"/>
        </w:rPr>
      </w:pPr>
    </w:p>
    <w:p w14:paraId="328F0BF3" w14:textId="34CA3B06" w:rsidR="00191522" w:rsidRDefault="00191522" w:rsidP="00002353">
      <w:pPr>
        <w:spacing w:after="0" w:line="240" w:lineRule="auto"/>
        <w:rPr>
          <w:rFonts w:ascii="Times New Roman" w:hAnsi="Times New Roman" w:cs="Times New Roman"/>
          <w:sz w:val="24"/>
          <w:szCs w:val="24"/>
        </w:rPr>
      </w:pPr>
    </w:p>
    <w:p w14:paraId="4D473589" w14:textId="3FDDB93D" w:rsidR="00191522" w:rsidRDefault="00191522" w:rsidP="00002353">
      <w:pPr>
        <w:spacing w:after="0" w:line="240" w:lineRule="auto"/>
        <w:rPr>
          <w:rFonts w:ascii="Times New Roman" w:hAnsi="Times New Roman" w:cs="Times New Roman"/>
          <w:sz w:val="24"/>
          <w:szCs w:val="24"/>
        </w:rPr>
      </w:pPr>
    </w:p>
    <w:p w14:paraId="3818254A" w14:textId="115B5057" w:rsidR="00191522" w:rsidRDefault="00191522" w:rsidP="00002353">
      <w:pPr>
        <w:spacing w:after="0" w:line="240" w:lineRule="auto"/>
        <w:rPr>
          <w:rFonts w:ascii="Times New Roman" w:hAnsi="Times New Roman" w:cs="Times New Roman"/>
          <w:sz w:val="24"/>
          <w:szCs w:val="24"/>
        </w:rPr>
      </w:pPr>
    </w:p>
    <w:p w14:paraId="7725E5E1" w14:textId="03F0E57F" w:rsidR="00191522" w:rsidRDefault="00191522" w:rsidP="00002353">
      <w:pPr>
        <w:spacing w:after="0" w:line="240" w:lineRule="auto"/>
        <w:rPr>
          <w:rFonts w:ascii="Times New Roman" w:hAnsi="Times New Roman" w:cs="Times New Roman"/>
          <w:sz w:val="24"/>
          <w:szCs w:val="24"/>
        </w:rPr>
      </w:pPr>
    </w:p>
    <w:p w14:paraId="4BA0FD3F" w14:textId="7A2037FE" w:rsidR="00191522" w:rsidRDefault="00191522" w:rsidP="00002353">
      <w:pPr>
        <w:spacing w:after="0" w:line="240" w:lineRule="auto"/>
        <w:rPr>
          <w:rFonts w:ascii="Times New Roman" w:hAnsi="Times New Roman" w:cs="Times New Roman"/>
          <w:sz w:val="24"/>
          <w:szCs w:val="24"/>
        </w:rPr>
      </w:pPr>
    </w:p>
    <w:p w14:paraId="411110DF" w14:textId="46C10FC1" w:rsidR="00191522" w:rsidRDefault="00191522" w:rsidP="00002353">
      <w:pPr>
        <w:spacing w:after="0" w:line="240" w:lineRule="auto"/>
        <w:rPr>
          <w:rFonts w:ascii="Times New Roman" w:hAnsi="Times New Roman" w:cs="Times New Roman"/>
          <w:sz w:val="24"/>
          <w:szCs w:val="24"/>
        </w:rPr>
      </w:pPr>
    </w:p>
    <w:p w14:paraId="778649A9" w14:textId="75C4BD78" w:rsidR="00191522" w:rsidRDefault="00191522" w:rsidP="00002353">
      <w:pPr>
        <w:spacing w:after="0" w:line="240" w:lineRule="auto"/>
        <w:rPr>
          <w:rFonts w:ascii="Times New Roman" w:hAnsi="Times New Roman" w:cs="Times New Roman"/>
          <w:sz w:val="24"/>
          <w:szCs w:val="24"/>
        </w:rPr>
      </w:pPr>
    </w:p>
    <w:p w14:paraId="17A5A626" w14:textId="48E3B587" w:rsidR="00191522" w:rsidRDefault="00191522" w:rsidP="00002353">
      <w:pPr>
        <w:spacing w:after="0" w:line="240" w:lineRule="auto"/>
        <w:rPr>
          <w:rFonts w:ascii="Times New Roman" w:hAnsi="Times New Roman" w:cs="Times New Roman"/>
          <w:sz w:val="24"/>
          <w:szCs w:val="24"/>
        </w:rPr>
      </w:pPr>
    </w:p>
    <w:p w14:paraId="62B7DEF2" w14:textId="42F0E120" w:rsidR="00191522" w:rsidRDefault="00191522" w:rsidP="00002353">
      <w:pPr>
        <w:spacing w:after="0" w:line="240" w:lineRule="auto"/>
        <w:rPr>
          <w:rFonts w:ascii="Times New Roman" w:hAnsi="Times New Roman" w:cs="Times New Roman"/>
          <w:sz w:val="24"/>
          <w:szCs w:val="24"/>
        </w:rPr>
      </w:pPr>
    </w:p>
    <w:p w14:paraId="2DF96217" w14:textId="5334E18C" w:rsidR="00191522" w:rsidRDefault="00191522" w:rsidP="00002353">
      <w:pPr>
        <w:spacing w:after="0" w:line="240" w:lineRule="auto"/>
        <w:rPr>
          <w:rFonts w:ascii="Times New Roman" w:hAnsi="Times New Roman" w:cs="Times New Roman"/>
          <w:sz w:val="24"/>
          <w:szCs w:val="24"/>
        </w:rPr>
      </w:pPr>
    </w:p>
    <w:p w14:paraId="2EBDA5DB" w14:textId="3C908EE9" w:rsidR="00191522" w:rsidRDefault="00191522" w:rsidP="00002353">
      <w:pPr>
        <w:spacing w:after="0" w:line="240" w:lineRule="auto"/>
        <w:rPr>
          <w:rFonts w:ascii="Times New Roman" w:hAnsi="Times New Roman" w:cs="Times New Roman"/>
          <w:sz w:val="24"/>
          <w:szCs w:val="24"/>
        </w:rPr>
      </w:pPr>
    </w:p>
    <w:p w14:paraId="10C75E02" w14:textId="4B6E32A4" w:rsidR="00191522" w:rsidRDefault="00191522" w:rsidP="00002353">
      <w:pPr>
        <w:spacing w:after="0" w:line="240" w:lineRule="auto"/>
        <w:rPr>
          <w:rFonts w:ascii="Times New Roman" w:hAnsi="Times New Roman" w:cs="Times New Roman"/>
          <w:sz w:val="24"/>
          <w:szCs w:val="24"/>
        </w:rPr>
      </w:pPr>
    </w:p>
    <w:p w14:paraId="5D999518" w14:textId="67F9998D" w:rsidR="00191522" w:rsidRDefault="00191522" w:rsidP="00002353">
      <w:pPr>
        <w:spacing w:after="0" w:line="240" w:lineRule="auto"/>
        <w:rPr>
          <w:rFonts w:ascii="Times New Roman" w:hAnsi="Times New Roman" w:cs="Times New Roman"/>
          <w:sz w:val="24"/>
          <w:szCs w:val="24"/>
        </w:rPr>
      </w:pPr>
    </w:p>
    <w:p w14:paraId="6D849C46" w14:textId="136C1268" w:rsidR="00191522" w:rsidRDefault="00191522" w:rsidP="00002353">
      <w:pPr>
        <w:spacing w:after="0" w:line="240" w:lineRule="auto"/>
        <w:rPr>
          <w:rFonts w:ascii="Times New Roman" w:hAnsi="Times New Roman" w:cs="Times New Roman"/>
          <w:sz w:val="24"/>
          <w:szCs w:val="24"/>
        </w:rPr>
      </w:pPr>
    </w:p>
    <w:p w14:paraId="340AE5B1" w14:textId="211A7CD6" w:rsidR="00191522" w:rsidRDefault="00191522" w:rsidP="00002353">
      <w:pPr>
        <w:spacing w:after="0" w:line="240" w:lineRule="auto"/>
        <w:rPr>
          <w:rFonts w:ascii="Times New Roman" w:hAnsi="Times New Roman" w:cs="Times New Roman"/>
          <w:sz w:val="24"/>
          <w:szCs w:val="24"/>
        </w:rPr>
      </w:pPr>
    </w:p>
    <w:p w14:paraId="1033E6CD" w14:textId="3229FDC5" w:rsidR="00191522" w:rsidRDefault="00191522" w:rsidP="00002353">
      <w:pPr>
        <w:spacing w:after="0" w:line="240" w:lineRule="auto"/>
        <w:rPr>
          <w:rFonts w:ascii="Times New Roman" w:hAnsi="Times New Roman" w:cs="Times New Roman"/>
          <w:sz w:val="24"/>
          <w:szCs w:val="24"/>
        </w:rPr>
      </w:pPr>
    </w:p>
    <w:p w14:paraId="0FF94A5B" w14:textId="69A64C17" w:rsidR="00191522" w:rsidRDefault="00191522" w:rsidP="00002353">
      <w:pPr>
        <w:spacing w:after="0" w:line="240" w:lineRule="auto"/>
        <w:rPr>
          <w:rFonts w:ascii="Times New Roman" w:hAnsi="Times New Roman" w:cs="Times New Roman"/>
          <w:sz w:val="24"/>
          <w:szCs w:val="24"/>
        </w:rPr>
      </w:pPr>
    </w:p>
    <w:p w14:paraId="2BC1EFB0" w14:textId="4A150AE7" w:rsidR="00191522" w:rsidRDefault="00191522" w:rsidP="00002353">
      <w:pPr>
        <w:spacing w:after="0" w:line="240" w:lineRule="auto"/>
        <w:rPr>
          <w:rFonts w:ascii="Times New Roman" w:hAnsi="Times New Roman" w:cs="Times New Roman"/>
          <w:sz w:val="24"/>
          <w:szCs w:val="24"/>
        </w:rPr>
      </w:pPr>
    </w:p>
    <w:p w14:paraId="24502333" w14:textId="316328DB" w:rsidR="00191522" w:rsidRDefault="00191522" w:rsidP="00002353">
      <w:pPr>
        <w:spacing w:after="0" w:line="240" w:lineRule="auto"/>
        <w:rPr>
          <w:rFonts w:ascii="Times New Roman" w:hAnsi="Times New Roman" w:cs="Times New Roman"/>
          <w:sz w:val="24"/>
          <w:szCs w:val="24"/>
        </w:rPr>
      </w:pPr>
    </w:p>
    <w:p w14:paraId="44231E6B" w14:textId="1252C5F1" w:rsidR="00191522" w:rsidRDefault="00191522" w:rsidP="00002353">
      <w:pPr>
        <w:spacing w:after="0" w:line="240" w:lineRule="auto"/>
        <w:rPr>
          <w:rFonts w:ascii="Times New Roman" w:hAnsi="Times New Roman" w:cs="Times New Roman"/>
          <w:sz w:val="24"/>
          <w:szCs w:val="24"/>
        </w:rPr>
      </w:pPr>
    </w:p>
    <w:p w14:paraId="0C806494" w14:textId="349F33D2" w:rsidR="00191522" w:rsidRDefault="00191522" w:rsidP="00002353">
      <w:pPr>
        <w:spacing w:after="0" w:line="240" w:lineRule="auto"/>
        <w:rPr>
          <w:rFonts w:ascii="Times New Roman" w:hAnsi="Times New Roman" w:cs="Times New Roman"/>
          <w:sz w:val="24"/>
          <w:szCs w:val="24"/>
        </w:rPr>
      </w:pPr>
    </w:p>
    <w:p w14:paraId="5A93BFA7" w14:textId="712C44A1" w:rsidR="00191522" w:rsidRDefault="00191522" w:rsidP="00002353">
      <w:pPr>
        <w:spacing w:after="0" w:line="240" w:lineRule="auto"/>
        <w:rPr>
          <w:rFonts w:ascii="Times New Roman" w:hAnsi="Times New Roman" w:cs="Times New Roman"/>
          <w:sz w:val="24"/>
          <w:szCs w:val="24"/>
        </w:rPr>
      </w:pPr>
    </w:p>
    <w:p w14:paraId="4A51C1F5" w14:textId="3D8ABC61" w:rsidR="00191522" w:rsidRDefault="00191522" w:rsidP="00002353">
      <w:pPr>
        <w:spacing w:after="0" w:line="240" w:lineRule="auto"/>
        <w:rPr>
          <w:rFonts w:ascii="Times New Roman" w:hAnsi="Times New Roman" w:cs="Times New Roman"/>
          <w:sz w:val="24"/>
          <w:szCs w:val="24"/>
        </w:rPr>
      </w:pPr>
    </w:p>
    <w:p w14:paraId="0E69B00E" w14:textId="19C2C610" w:rsidR="00191522" w:rsidRDefault="00191522" w:rsidP="00002353">
      <w:pPr>
        <w:spacing w:after="0" w:line="240" w:lineRule="auto"/>
        <w:rPr>
          <w:rFonts w:ascii="Times New Roman" w:hAnsi="Times New Roman" w:cs="Times New Roman"/>
          <w:sz w:val="24"/>
          <w:szCs w:val="24"/>
        </w:rPr>
      </w:pPr>
    </w:p>
    <w:p w14:paraId="471AF074" w14:textId="6F87762B" w:rsidR="007C547B" w:rsidRDefault="007C547B" w:rsidP="00002353">
      <w:pPr>
        <w:spacing w:after="0" w:line="240" w:lineRule="auto"/>
        <w:rPr>
          <w:rFonts w:ascii="Times New Roman" w:hAnsi="Times New Roman" w:cs="Times New Roman"/>
          <w:sz w:val="24"/>
          <w:szCs w:val="24"/>
        </w:rPr>
      </w:pPr>
    </w:p>
    <w:p w14:paraId="50648370" w14:textId="25A1EB45" w:rsidR="009D39A0" w:rsidRDefault="009D39A0" w:rsidP="008A30A9">
      <w:pPr>
        <w:spacing w:after="0" w:line="240" w:lineRule="auto"/>
        <w:jc w:val="center"/>
        <w:rPr>
          <w:rFonts w:ascii="Times New Roman" w:hAnsi="Times New Roman" w:cs="Times New Roman"/>
          <w:b/>
          <w:sz w:val="24"/>
          <w:szCs w:val="24"/>
        </w:rPr>
      </w:pPr>
      <w:r w:rsidRPr="00BA09F9">
        <w:rPr>
          <w:rFonts w:ascii="Times New Roman" w:hAnsi="Times New Roman" w:cs="Times New Roman"/>
          <w:b/>
          <w:sz w:val="24"/>
          <w:szCs w:val="24"/>
        </w:rPr>
        <w:lastRenderedPageBreak/>
        <w:t>Ek-1</w:t>
      </w:r>
    </w:p>
    <w:p w14:paraId="4FCB73CF" w14:textId="77777777" w:rsidR="002D0FC7" w:rsidRPr="00BA09F9" w:rsidRDefault="002D0FC7" w:rsidP="008A30A9">
      <w:pPr>
        <w:spacing w:after="0" w:line="240" w:lineRule="auto"/>
        <w:jc w:val="center"/>
        <w:rPr>
          <w:rFonts w:ascii="Times New Roman" w:hAnsi="Times New Roman" w:cs="Times New Roman"/>
          <w:b/>
          <w:sz w:val="24"/>
          <w:szCs w:val="24"/>
        </w:rPr>
      </w:pPr>
    </w:p>
    <w:p w14:paraId="58A93357" w14:textId="63633B3C" w:rsidR="009D39A0" w:rsidRPr="00F324BF" w:rsidRDefault="009D39A0" w:rsidP="009D39A0">
      <w:pPr>
        <w:pStyle w:val="Gvdemetni0"/>
        <w:spacing w:after="0"/>
        <w:ind w:left="927"/>
        <w:jc w:val="right"/>
        <w:rPr>
          <w:rFonts w:ascii="Times New Roman" w:hAnsi="Times New Roman" w:cs="Times New Roman"/>
          <w:sz w:val="24"/>
          <w:szCs w:val="24"/>
        </w:rPr>
      </w:pPr>
      <w:r w:rsidRPr="00A90698">
        <w:rPr>
          <w:rFonts w:ascii="Times New Roman" w:hAnsi="Times New Roman" w:cs="Times New Roman"/>
          <w:bCs/>
          <w:sz w:val="24"/>
          <w:szCs w:val="24"/>
        </w:rPr>
        <w:t>“</w:t>
      </w:r>
      <w:r w:rsidRPr="00F324BF">
        <w:rPr>
          <w:rFonts w:ascii="Times New Roman" w:hAnsi="Times New Roman" w:cs="Times New Roman"/>
          <w:b/>
          <w:bCs/>
          <w:sz w:val="24"/>
          <w:szCs w:val="24"/>
        </w:rPr>
        <w:t>E</w:t>
      </w:r>
      <w:r w:rsidR="00AD4BF5">
        <w:rPr>
          <w:rFonts w:ascii="Times New Roman" w:hAnsi="Times New Roman" w:cs="Times New Roman"/>
          <w:b/>
          <w:bCs/>
          <w:sz w:val="24"/>
          <w:szCs w:val="24"/>
        </w:rPr>
        <w:t>K</w:t>
      </w:r>
      <w:r w:rsidRPr="00F324BF">
        <w:rPr>
          <w:rFonts w:ascii="Times New Roman" w:hAnsi="Times New Roman" w:cs="Times New Roman"/>
          <w:b/>
          <w:bCs/>
          <w:sz w:val="24"/>
          <w:szCs w:val="24"/>
        </w:rPr>
        <w:t xml:space="preserve">- </w:t>
      </w:r>
      <w:proofErr w:type="spellStart"/>
      <w:r w:rsidRPr="00F324BF">
        <w:rPr>
          <w:rFonts w:ascii="Times New Roman" w:hAnsi="Times New Roman" w:cs="Times New Roman"/>
          <w:b/>
          <w:bCs/>
          <w:sz w:val="24"/>
          <w:szCs w:val="24"/>
        </w:rPr>
        <w:t>IIIa</w:t>
      </w:r>
      <w:proofErr w:type="spellEnd"/>
      <w:r w:rsidRPr="00F324BF">
        <w:rPr>
          <w:rFonts w:ascii="Times New Roman" w:hAnsi="Times New Roman" w:cs="Times New Roman"/>
          <w:b/>
          <w:bCs/>
          <w:sz w:val="24"/>
          <w:szCs w:val="24"/>
        </w:rPr>
        <w:t xml:space="preserve"> </w:t>
      </w:r>
    </w:p>
    <w:p w14:paraId="6E23657F" w14:textId="77777777" w:rsidR="009D39A0" w:rsidRPr="00F324BF" w:rsidRDefault="009D39A0" w:rsidP="009D39A0">
      <w:pPr>
        <w:pStyle w:val="Gvdemetni0"/>
        <w:spacing w:after="0"/>
        <w:jc w:val="center"/>
        <w:rPr>
          <w:rFonts w:ascii="Times New Roman" w:hAnsi="Times New Roman" w:cs="Times New Roman"/>
          <w:b/>
          <w:bCs/>
          <w:sz w:val="24"/>
          <w:szCs w:val="24"/>
        </w:rPr>
      </w:pPr>
      <w:r w:rsidRPr="00F324BF">
        <w:rPr>
          <w:rFonts w:ascii="Times New Roman" w:hAnsi="Times New Roman" w:cs="Times New Roman"/>
          <w:b/>
          <w:bCs/>
          <w:sz w:val="24"/>
          <w:szCs w:val="24"/>
        </w:rPr>
        <w:t>GEÇİCİ METOTLAR</w:t>
      </w:r>
    </w:p>
    <w:p w14:paraId="5EF9BD15" w14:textId="77777777" w:rsidR="009D39A0" w:rsidRPr="002D0FC7" w:rsidRDefault="009D39A0" w:rsidP="009D39A0">
      <w:pPr>
        <w:pStyle w:val="ResimYazs"/>
        <w:keepNext/>
        <w:spacing w:after="0"/>
        <w:jc w:val="center"/>
        <w:rPr>
          <w:b/>
          <w:i w:val="0"/>
          <w:color w:val="auto"/>
          <w:sz w:val="24"/>
          <w:szCs w:val="24"/>
        </w:rPr>
      </w:pPr>
      <w:r w:rsidRPr="002D0FC7">
        <w:rPr>
          <w:b/>
          <w:i w:val="0"/>
          <w:color w:val="auto"/>
          <w:sz w:val="24"/>
          <w:szCs w:val="24"/>
        </w:rPr>
        <w:t xml:space="preserve">Tablo </w:t>
      </w:r>
      <w:proofErr w:type="gramStart"/>
      <w:r w:rsidRPr="002D0FC7">
        <w:rPr>
          <w:b/>
          <w:i w:val="0"/>
          <w:color w:val="auto"/>
          <w:sz w:val="24"/>
          <w:szCs w:val="24"/>
        </w:rPr>
        <w:t>1a</w:t>
      </w:r>
      <w:proofErr w:type="gramEnd"/>
    </w:p>
    <w:p w14:paraId="2DD7C9E3" w14:textId="77777777" w:rsidR="009D39A0" w:rsidRPr="00F324BF" w:rsidRDefault="009D39A0" w:rsidP="009D39A0">
      <w:pPr>
        <w:pStyle w:val="ResimYazs"/>
        <w:keepNext/>
        <w:spacing w:after="0"/>
        <w:jc w:val="center"/>
        <w:rPr>
          <w:b/>
          <w:i w:val="0"/>
          <w:color w:val="auto"/>
          <w:sz w:val="24"/>
          <w:szCs w:val="24"/>
        </w:rPr>
      </w:pPr>
      <w:r w:rsidRPr="00F324BF">
        <w:rPr>
          <w:b/>
          <w:i w:val="0"/>
          <w:color w:val="auto"/>
          <w:sz w:val="24"/>
          <w:szCs w:val="24"/>
        </w:rPr>
        <w:t>Sunucular için referanslar ve niteleyici notlar</w:t>
      </w:r>
    </w:p>
    <w:tbl>
      <w:tblPr>
        <w:tblStyle w:val="TabloKlavuzu"/>
        <w:tblW w:w="5000" w:type="pct"/>
        <w:tblLook w:val="04A0" w:firstRow="1" w:lastRow="0" w:firstColumn="1" w:lastColumn="0" w:noHBand="0" w:noVBand="1"/>
      </w:tblPr>
      <w:tblGrid>
        <w:gridCol w:w="1778"/>
        <w:gridCol w:w="1039"/>
        <w:gridCol w:w="3021"/>
        <w:gridCol w:w="1345"/>
        <w:gridCol w:w="1879"/>
      </w:tblGrid>
      <w:tr w:rsidR="009D39A0" w:rsidRPr="00F41305" w14:paraId="49739C72" w14:textId="77777777" w:rsidTr="00D52EC8">
        <w:tc>
          <w:tcPr>
            <w:tcW w:w="981" w:type="pct"/>
            <w:vAlign w:val="center"/>
          </w:tcPr>
          <w:p w14:paraId="4A68DB96" w14:textId="77777777" w:rsidR="009D39A0" w:rsidRPr="00F41305" w:rsidRDefault="009D39A0" w:rsidP="00D52EC8">
            <w:pPr>
              <w:pStyle w:val="Gvdemetni0"/>
              <w:spacing w:after="0"/>
              <w:jc w:val="center"/>
              <w:rPr>
                <w:rFonts w:ascii="Times New Roman" w:hAnsi="Times New Roman" w:cs="Times New Roman"/>
                <w:b/>
                <w:sz w:val="24"/>
                <w:szCs w:val="24"/>
              </w:rPr>
            </w:pPr>
            <w:r w:rsidRPr="00F41305">
              <w:rPr>
                <w:rFonts w:ascii="Times New Roman" w:hAnsi="Times New Roman" w:cs="Times New Roman"/>
                <w:b/>
                <w:sz w:val="24"/>
                <w:szCs w:val="24"/>
              </w:rPr>
              <w:t>Parametre</w:t>
            </w:r>
          </w:p>
        </w:tc>
        <w:tc>
          <w:tcPr>
            <w:tcW w:w="573" w:type="pct"/>
            <w:vAlign w:val="center"/>
          </w:tcPr>
          <w:p w14:paraId="33BCE654" w14:textId="77777777" w:rsidR="009D39A0" w:rsidRPr="00F41305" w:rsidRDefault="009D39A0" w:rsidP="00D52EC8">
            <w:pPr>
              <w:pStyle w:val="Gvdemetni0"/>
              <w:spacing w:after="0"/>
              <w:jc w:val="center"/>
              <w:rPr>
                <w:rFonts w:ascii="Times New Roman" w:hAnsi="Times New Roman" w:cs="Times New Roman"/>
                <w:b/>
                <w:sz w:val="24"/>
                <w:szCs w:val="24"/>
              </w:rPr>
            </w:pPr>
            <w:r w:rsidRPr="00F41305">
              <w:rPr>
                <w:rFonts w:ascii="Times New Roman" w:hAnsi="Times New Roman" w:cs="Times New Roman"/>
                <w:b/>
                <w:sz w:val="24"/>
                <w:szCs w:val="24"/>
              </w:rPr>
              <w:t>Kaynak</w:t>
            </w:r>
          </w:p>
        </w:tc>
        <w:tc>
          <w:tcPr>
            <w:tcW w:w="1667" w:type="pct"/>
            <w:vAlign w:val="center"/>
          </w:tcPr>
          <w:p w14:paraId="70DD0060" w14:textId="77777777" w:rsidR="009D39A0" w:rsidRPr="00F41305" w:rsidRDefault="009D39A0" w:rsidP="00D52EC8">
            <w:pPr>
              <w:pStyle w:val="Gvdemetni0"/>
              <w:spacing w:after="0"/>
              <w:jc w:val="center"/>
              <w:rPr>
                <w:rFonts w:ascii="Times New Roman" w:hAnsi="Times New Roman" w:cs="Times New Roman"/>
                <w:b/>
                <w:sz w:val="24"/>
                <w:szCs w:val="24"/>
              </w:rPr>
            </w:pPr>
            <w:r w:rsidRPr="00F41305">
              <w:rPr>
                <w:rFonts w:ascii="Times New Roman" w:hAnsi="Times New Roman" w:cs="Times New Roman"/>
                <w:b/>
                <w:sz w:val="24"/>
                <w:szCs w:val="24"/>
              </w:rPr>
              <w:t>Referans Test Metodu / Başlık</w:t>
            </w:r>
          </w:p>
        </w:tc>
        <w:tc>
          <w:tcPr>
            <w:tcW w:w="1779" w:type="pct"/>
            <w:gridSpan w:val="2"/>
            <w:vAlign w:val="center"/>
          </w:tcPr>
          <w:p w14:paraId="6964573D" w14:textId="77777777" w:rsidR="009D39A0" w:rsidRPr="00F41305" w:rsidRDefault="009D39A0" w:rsidP="00D52EC8">
            <w:pPr>
              <w:pStyle w:val="Gvdemetni0"/>
              <w:spacing w:after="0"/>
              <w:jc w:val="center"/>
              <w:rPr>
                <w:rFonts w:ascii="Times New Roman" w:hAnsi="Times New Roman" w:cs="Times New Roman"/>
                <w:b/>
                <w:sz w:val="24"/>
                <w:szCs w:val="24"/>
              </w:rPr>
            </w:pPr>
            <w:r w:rsidRPr="00F41305">
              <w:rPr>
                <w:rFonts w:ascii="Times New Roman" w:hAnsi="Times New Roman" w:cs="Times New Roman"/>
                <w:b/>
                <w:sz w:val="24"/>
                <w:szCs w:val="24"/>
              </w:rPr>
              <w:t>Notlar</w:t>
            </w:r>
          </w:p>
        </w:tc>
      </w:tr>
      <w:tr w:rsidR="009D39A0" w:rsidRPr="00F41305" w14:paraId="493CB743" w14:textId="77777777" w:rsidTr="00D52EC8">
        <w:trPr>
          <w:trHeight w:val="2811"/>
        </w:trPr>
        <w:tc>
          <w:tcPr>
            <w:tcW w:w="981" w:type="pct"/>
            <w:vAlign w:val="center"/>
          </w:tcPr>
          <w:p w14:paraId="7345A0B8" w14:textId="77777777" w:rsidR="009D39A0" w:rsidRPr="00F41CE5" w:rsidRDefault="009D39A0" w:rsidP="00D52EC8">
            <w:pPr>
              <w:pStyle w:val="Gvdemetni0"/>
              <w:spacing w:after="0"/>
              <w:jc w:val="both"/>
              <w:rPr>
                <w:rFonts w:ascii="Times New Roman" w:hAnsi="Times New Roman" w:cs="Times New Roman"/>
                <w:sz w:val="24"/>
                <w:szCs w:val="24"/>
              </w:rPr>
            </w:pPr>
            <w:r w:rsidRPr="00F41CE5">
              <w:rPr>
                <w:rFonts w:ascii="Times New Roman" w:hAnsi="Times New Roman" w:cs="Times New Roman"/>
                <w:sz w:val="24"/>
                <w:szCs w:val="24"/>
              </w:rPr>
              <w:t>Etkin konumdaki sunucu verimliliği ve sunucu performansı</w:t>
            </w:r>
          </w:p>
        </w:tc>
        <w:tc>
          <w:tcPr>
            <w:tcW w:w="573" w:type="pct"/>
            <w:vAlign w:val="center"/>
          </w:tcPr>
          <w:p w14:paraId="5133B4D8" w14:textId="77777777" w:rsidR="009D39A0" w:rsidRPr="00F41CE5" w:rsidRDefault="009D39A0" w:rsidP="00D52EC8">
            <w:pPr>
              <w:pStyle w:val="Gvdemetni0"/>
              <w:spacing w:after="0"/>
              <w:jc w:val="both"/>
              <w:rPr>
                <w:rFonts w:ascii="Times New Roman" w:hAnsi="Times New Roman" w:cs="Times New Roman"/>
                <w:sz w:val="24"/>
                <w:szCs w:val="24"/>
              </w:rPr>
            </w:pPr>
            <w:r w:rsidRPr="00F41CE5">
              <w:rPr>
                <w:rFonts w:ascii="Times New Roman" w:hAnsi="Times New Roman" w:cs="Times New Roman"/>
                <w:sz w:val="24"/>
                <w:szCs w:val="24"/>
              </w:rPr>
              <w:t>ETSI</w:t>
            </w:r>
          </w:p>
        </w:tc>
        <w:tc>
          <w:tcPr>
            <w:tcW w:w="1667" w:type="pct"/>
            <w:vAlign w:val="center"/>
          </w:tcPr>
          <w:p w14:paraId="47ADA201" w14:textId="77777777" w:rsidR="009D39A0" w:rsidRPr="00F41CE5" w:rsidRDefault="009D39A0" w:rsidP="00D52EC8">
            <w:pPr>
              <w:pStyle w:val="Gvdemetni0"/>
              <w:spacing w:after="0"/>
              <w:jc w:val="both"/>
              <w:rPr>
                <w:rFonts w:ascii="Times New Roman" w:hAnsi="Times New Roman" w:cs="Times New Roman"/>
                <w:sz w:val="24"/>
                <w:szCs w:val="24"/>
              </w:rPr>
            </w:pPr>
            <w:r w:rsidRPr="00F41CE5">
              <w:rPr>
                <w:rFonts w:ascii="Times New Roman" w:hAnsi="Times New Roman" w:cs="Times New Roman"/>
                <w:sz w:val="24"/>
                <w:szCs w:val="24"/>
              </w:rPr>
              <w:t>ETSI EN 303470:2019</w:t>
            </w:r>
          </w:p>
        </w:tc>
        <w:tc>
          <w:tcPr>
            <w:tcW w:w="742" w:type="pct"/>
            <w:vAlign w:val="center"/>
          </w:tcPr>
          <w:p w14:paraId="6B2CCA8A" w14:textId="77777777" w:rsidR="009D39A0" w:rsidRPr="00E96A2A" w:rsidRDefault="009D39A0" w:rsidP="00D52EC8">
            <w:pPr>
              <w:pStyle w:val="Gvdemetni0"/>
              <w:spacing w:after="0"/>
              <w:jc w:val="both"/>
              <w:rPr>
                <w:rFonts w:ascii="Times New Roman" w:hAnsi="Times New Roman" w:cs="Times New Roman"/>
                <w:sz w:val="24"/>
                <w:szCs w:val="24"/>
              </w:rPr>
            </w:pPr>
          </w:p>
        </w:tc>
        <w:tc>
          <w:tcPr>
            <w:tcW w:w="1037" w:type="pct"/>
            <w:vMerge w:val="restart"/>
            <w:vAlign w:val="center"/>
          </w:tcPr>
          <w:p w14:paraId="30630998" w14:textId="77777777" w:rsidR="009D39A0" w:rsidRPr="00E96A2A" w:rsidRDefault="009D39A0" w:rsidP="00D52EC8">
            <w:pPr>
              <w:pStyle w:val="Gvdemetni0"/>
              <w:spacing w:after="0"/>
              <w:jc w:val="both"/>
              <w:rPr>
                <w:rFonts w:ascii="Times New Roman" w:hAnsi="Times New Roman" w:cs="Times New Roman"/>
                <w:sz w:val="24"/>
                <w:szCs w:val="24"/>
              </w:rPr>
            </w:pPr>
            <w:r w:rsidRPr="00E96A2A">
              <w:rPr>
                <w:rFonts w:ascii="Times New Roman" w:hAnsi="Times New Roman" w:cs="Times New Roman"/>
                <w:sz w:val="24"/>
                <w:szCs w:val="24"/>
              </w:rPr>
              <w:t>EN 303470:2019 standardı ile test işlemine ilişkin genel notlar:</w:t>
            </w:r>
          </w:p>
          <w:p w14:paraId="6273D0A0" w14:textId="41FDF0BD" w:rsidR="009D39A0" w:rsidRPr="00E96A2A" w:rsidRDefault="009D39A0" w:rsidP="00D52EC8">
            <w:pPr>
              <w:pStyle w:val="Gvdemetni0"/>
              <w:numPr>
                <w:ilvl w:val="0"/>
                <w:numId w:val="2"/>
              </w:numPr>
              <w:spacing w:after="0"/>
              <w:ind w:left="0" w:firstLine="0"/>
              <w:jc w:val="both"/>
              <w:rPr>
                <w:rFonts w:ascii="Times New Roman" w:hAnsi="Times New Roman" w:cs="Times New Roman"/>
                <w:sz w:val="24"/>
                <w:szCs w:val="24"/>
              </w:rPr>
            </w:pPr>
            <w:r w:rsidRPr="00E96A2A">
              <w:rPr>
                <w:rFonts w:ascii="Times New Roman" w:hAnsi="Times New Roman" w:cs="Times New Roman"/>
                <w:sz w:val="24"/>
                <w:szCs w:val="24"/>
              </w:rPr>
              <w:t>Test, uygun bir AB voltajı ve frekansında (örn</w:t>
            </w:r>
            <w:r w:rsidR="002D0FC7">
              <w:rPr>
                <w:rFonts w:ascii="Times New Roman" w:hAnsi="Times New Roman" w:cs="Times New Roman"/>
                <w:sz w:val="24"/>
                <w:szCs w:val="24"/>
              </w:rPr>
              <w:t>eğin</w:t>
            </w:r>
            <w:r w:rsidRPr="00E96A2A">
              <w:rPr>
                <w:rFonts w:ascii="Times New Roman" w:hAnsi="Times New Roman" w:cs="Times New Roman"/>
                <w:sz w:val="24"/>
                <w:szCs w:val="24"/>
              </w:rPr>
              <w:t xml:space="preserve"> 230v, 50Hz) yapılmalıdır.</w:t>
            </w:r>
          </w:p>
          <w:p w14:paraId="1017841D" w14:textId="410255FE" w:rsidR="009D39A0" w:rsidRPr="00E96A2A" w:rsidRDefault="009D39A0" w:rsidP="00D52EC8">
            <w:pPr>
              <w:pStyle w:val="Gvdemetni0"/>
              <w:numPr>
                <w:ilvl w:val="0"/>
                <w:numId w:val="2"/>
              </w:numPr>
              <w:spacing w:after="0"/>
              <w:ind w:left="0" w:firstLine="0"/>
              <w:jc w:val="both"/>
              <w:rPr>
                <w:rFonts w:ascii="Times New Roman" w:hAnsi="Times New Roman" w:cs="Times New Roman"/>
                <w:sz w:val="24"/>
                <w:szCs w:val="24"/>
              </w:rPr>
            </w:pPr>
            <w:r w:rsidRPr="00E96A2A">
              <w:rPr>
                <w:rFonts w:ascii="Times New Roman" w:hAnsi="Times New Roman" w:cs="Times New Roman"/>
                <w:sz w:val="24"/>
                <w:szCs w:val="24"/>
              </w:rPr>
              <w:t xml:space="preserve">İşlevsiz durum gücü, etkin konum verimliliği ve etkin konum sunucu performansı ölçülürken </w:t>
            </w:r>
            <w:r>
              <w:rPr>
                <w:rFonts w:ascii="Times New Roman" w:hAnsi="Times New Roman" w:cs="Times New Roman"/>
                <w:sz w:val="24"/>
                <w:szCs w:val="24"/>
              </w:rPr>
              <w:t xml:space="preserve">bu Tebliğin </w:t>
            </w:r>
            <w:r w:rsidRPr="00E96A2A">
              <w:rPr>
                <w:rFonts w:ascii="Times New Roman" w:hAnsi="Times New Roman" w:cs="Times New Roman"/>
                <w:sz w:val="24"/>
                <w:szCs w:val="24"/>
              </w:rPr>
              <w:t xml:space="preserve">Ek </w:t>
            </w:r>
            <w:proofErr w:type="spellStart"/>
            <w:r w:rsidRPr="00E96A2A">
              <w:rPr>
                <w:rFonts w:ascii="Times New Roman" w:hAnsi="Times New Roman" w:cs="Times New Roman"/>
                <w:sz w:val="24"/>
                <w:szCs w:val="24"/>
              </w:rPr>
              <w:t>III</w:t>
            </w:r>
            <w:r w:rsidR="002D0FC7">
              <w:rPr>
                <w:rFonts w:ascii="Times New Roman" w:hAnsi="Times New Roman" w:cs="Times New Roman"/>
                <w:sz w:val="24"/>
                <w:szCs w:val="24"/>
              </w:rPr>
              <w:t>’</w:t>
            </w:r>
            <w:r w:rsidRPr="00E96A2A">
              <w:rPr>
                <w:rFonts w:ascii="Times New Roman" w:hAnsi="Times New Roman" w:cs="Times New Roman"/>
                <w:sz w:val="24"/>
                <w:szCs w:val="24"/>
              </w:rPr>
              <w:t>ünün</w:t>
            </w:r>
            <w:proofErr w:type="spellEnd"/>
            <w:r w:rsidRPr="00E96A2A">
              <w:rPr>
                <w:rFonts w:ascii="Times New Roman" w:hAnsi="Times New Roman" w:cs="Times New Roman"/>
                <w:sz w:val="24"/>
                <w:szCs w:val="24"/>
              </w:rPr>
              <w:t xml:space="preserve"> 2</w:t>
            </w:r>
            <w:r w:rsidR="002D0FC7">
              <w:rPr>
                <w:rFonts w:ascii="Times New Roman" w:hAnsi="Times New Roman" w:cs="Times New Roman"/>
                <w:sz w:val="24"/>
                <w:szCs w:val="24"/>
              </w:rPr>
              <w:t xml:space="preserve"> </w:t>
            </w:r>
            <w:proofErr w:type="spellStart"/>
            <w:r w:rsidR="002D0FC7">
              <w:rPr>
                <w:rFonts w:ascii="Times New Roman" w:hAnsi="Times New Roman" w:cs="Times New Roman"/>
                <w:sz w:val="24"/>
                <w:szCs w:val="24"/>
              </w:rPr>
              <w:t>nci</w:t>
            </w:r>
            <w:proofErr w:type="spellEnd"/>
            <w:r w:rsidRPr="00E96A2A">
              <w:rPr>
                <w:rFonts w:ascii="Times New Roman" w:hAnsi="Times New Roman" w:cs="Times New Roman"/>
                <w:sz w:val="24"/>
                <w:szCs w:val="24"/>
              </w:rPr>
              <w:t xml:space="preserve"> maddesindeki genişletme APA kartlarına ilişkin hükme benzer şekilde, test edilen birim diğer eklenti kartı türleri çıkarılarak (Herhangi bir tolerans verilmediği ve SERT testinde uygulanmadığı için) test </w:t>
            </w:r>
            <w:proofErr w:type="gramStart"/>
            <w:r w:rsidRPr="00E96A2A">
              <w:rPr>
                <w:rFonts w:ascii="Times New Roman" w:hAnsi="Times New Roman" w:cs="Times New Roman"/>
                <w:sz w:val="24"/>
                <w:szCs w:val="24"/>
              </w:rPr>
              <w:t>edilir</w:t>
            </w:r>
            <w:r w:rsidRPr="002D0FC7">
              <w:rPr>
                <w:rFonts w:ascii="Times New Roman" w:hAnsi="Times New Roman" w:cs="Times New Roman"/>
                <w:sz w:val="24"/>
                <w:szCs w:val="24"/>
                <w:vertAlign w:val="superscript"/>
              </w:rPr>
              <w:t>(</w:t>
            </w:r>
            <w:proofErr w:type="gramEnd"/>
            <w:r w:rsidRPr="002D0FC7">
              <w:rPr>
                <w:rFonts w:ascii="Times New Roman" w:hAnsi="Times New Roman" w:cs="Times New Roman"/>
                <w:sz w:val="24"/>
                <w:szCs w:val="24"/>
                <w:vertAlign w:val="superscript"/>
              </w:rPr>
              <w:t>1)</w:t>
            </w:r>
            <w:r w:rsidRPr="00E96A2A">
              <w:rPr>
                <w:rFonts w:ascii="Times New Roman" w:hAnsi="Times New Roman" w:cs="Times New Roman"/>
                <w:sz w:val="24"/>
                <w:szCs w:val="24"/>
              </w:rPr>
              <w:t>.</w:t>
            </w:r>
          </w:p>
          <w:p w14:paraId="7133F4EB" w14:textId="77777777" w:rsidR="009D39A0" w:rsidRPr="00E96A2A" w:rsidRDefault="009D39A0" w:rsidP="00D52EC8">
            <w:pPr>
              <w:pStyle w:val="Gvdemetni0"/>
              <w:numPr>
                <w:ilvl w:val="0"/>
                <w:numId w:val="2"/>
              </w:numPr>
              <w:spacing w:after="0"/>
              <w:jc w:val="both"/>
              <w:rPr>
                <w:rFonts w:ascii="Times New Roman" w:hAnsi="Times New Roman" w:cs="Times New Roman"/>
                <w:sz w:val="24"/>
                <w:szCs w:val="24"/>
              </w:rPr>
            </w:pPr>
            <w:r w:rsidRPr="00E96A2A">
              <w:rPr>
                <w:rFonts w:ascii="Times New Roman" w:hAnsi="Times New Roman" w:cs="Times New Roman"/>
                <w:sz w:val="24"/>
                <w:szCs w:val="24"/>
              </w:rPr>
              <w:t>Sunucular</w:t>
            </w:r>
          </w:p>
          <w:p w14:paraId="7147D7E6" w14:textId="11A9DB86" w:rsidR="009D39A0" w:rsidRPr="00E96A2A" w:rsidRDefault="009D39A0" w:rsidP="00D52EC8">
            <w:pPr>
              <w:pStyle w:val="Gvdemetni0"/>
              <w:spacing w:after="0"/>
              <w:jc w:val="both"/>
              <w:rPr>
                <w:rFonts w:ascii="Times New Roman" w:hAnsi="Times New Roman" w:cs="Times New Roman"/>
                <w:sz w:val="24"/>
                <w:szCs w:val="24"/>
              </w:rPr>
            </w:pPr>
            <w:r w:rsidRPr="00E96A2A">
              <w:rPr>
                <w:rFonts w:ascii="Times New Roman" w:hAnsi="Times New Roman" w:cs="Times New Roman"/>
                <w:sz w:val="24"/>
                <w:szCs w:val="24"/>
              </w:rPr>
              <w:t xml:space="preserve">i. </w:t>
            </w:r>
            <w:r w:rsidR="002D0FC7">
              <w:rPr>
                <w:rFonts w:ascii="Times New Roman" w:hAnsi="Times New Roman" w:cs="Times New Roman"/>
                <w:sz w:val="24"/>
                <w:szCs w:val="24"/>
              </w:rPr>
              <w:t>B</w:t>
            </w:r>
            <w:r w:rsidR="002D0FC7" w:rsidRPr="00E96A2A">
              <w:rPr>
                <w:rFonts w:ascii="Times New Roman" w:hAnsi="Times New Roman" w:cs="Times New Roman"/>
                <w:sz w:val="24"/>
                <w:szCs w:val="24"/>
              </w:rPr>
              <w:t xml:space="preserve">ir </w:t>
            </w:r>
            <w:r w:rsidRPr="00E96A2A">
              <w:rPr>
                <w:rFonts w:ascii="Times New Roman" w:hAnsi="Times New Roman" w:cs="Times New Roman"/>
                <w:sz w:val="24"/>
                <w:szCs w:val="24"/>
              </w:rPr>
              <w:t>sunucu ürün ailesinin parçası olarak bildirilmediyse,</w:t>
            </w:r>
          </w:p>
          <w:p w14:paraId="6C328E8F" w14:textId="3C576CE3" w:rsidR="009D39A0" w:rsidRPr="00E96A2A" w:rsidRDefault="009D39A0" w:rsidP="00D52EC8">
            <w:pPr>
              <w:pStyle w:val="Gvdemetni0"/>
              <w:spacing w:after="0"/>
              <w:jc w:val="both"/>
              <w:rPr>
                <w:rFonts w:ascii="Times New Roman" w:hAnsi="Times New Roman" w:cs="Times New Roman"/>
                <w:sz w:val="24"/>
                <w:szCs w:val="24"/>
              </w:rPr>
            </w:pPr>
            <w:r w:rsidRPr="00E96A2A">
              <w:rPr>
                <w:rFonts w:ascii="Times New Roman" w:hAnsi="Times New Roman" w:cs="Times New Roman"/>
                <w:sz w:val="24"/>
                <w:szCs w:val="24"/>
              </w:rPr>
              <w:t xml:space="preserve">ii. </w:t>
            </w:r>
            <w:r w:rsidR="002D0FC7">
              <w:rPr>
                <w:rFonts w:ascii="Times New Roman" w:hAnsi="Times New Roman" w:cs="Times New Roman"/>
                <w:sz w:val="24"/>
                <w:szCs w:val="24"/>
              </w:rPr>
              <w:t>A</w:t>
            </w:r>
            <w:r w:rsidR="002D0FC7" w:rsidRPr="00E96A2A">
              <w:rPr>
                <w:rFonts w:ascii="Times New Roman" w:hAnsi="Times New Roman" w:cs="Times New Roman"/>
                <w:sz w:val="24"/>
                <w:szCs w:val="24"/>
              </w:rPr>
              <w:t xml:space="preserve">ynı </w:t>
            </w:r>
            <w:r w:rsidRPr="00E96A2A">
              <w:rPr>
                <w:rFonts w:ascii="Times New Roman" w:hAnsi="Times New Roman" w:cs="Times New Roman"/>
                <w:sz w:val="24"/>
                <w:szCs w:val="24"/>
              </w:rPr>
              <w:t xml:space="preserve">çift sıralı </w:t>
            </w:r>
            <w:r w:rsidRPr="00E96A2A">
              <w:rPr>
                <w:rFonts w:ascii="Times New Roman" w:hAnsi="Times New Roman" w:cs="Times New Roman"/>
                <w:sz w:val="24"/>
                <w:szCs w:val="24"/>
              </w:rPr>
              <w:lastRenderedPageBreak/>
              <w:t>bellek modülleri (</w:t>
            </w:r>
            <w:proofErr w:type="spellStart"/>
            <w:r w:rsidRPr="00E96A2A">
              <w:rPr>
                <w:rFonts w:ascii="Times New Roman" w:hAnsi="Times New Roman" w:cs="Times New Roman"/>
                <w:sz w:val="24"/>
                <w:szCs w:val="24"/>
              </w:rPr>
              <w:t>DIMM'ler</w:t>
            </w:r>
            <w:proofErr w:type="spellEnd"/>
            <w:r w:rsidRPr="00E96A2A">
              <w:rPr>
                <w:rFonts w:ascii="Times New Roman" w:hAnsi="Times New Roman" w:cs="Times New Roman"/>
                <w:sz w:val="24"/>
                <w:szCs w:val="24"/>
              </w:rPr>
              <w:t>) ile yerleştirilmiş tüm bellek kanalları olmadan bir yapılandırmada yer aldıysa,</w:t>
            </w:r>
          </w:p>
          <w:p w14:paraId="6A93F577" w14:textId="7FFD9509" w:rsidR="009D39A0" w:rsidRPr="002D0FC7" w:rsidRDefault="009D39A0" w:rsidP="00D52EC8">
            <w:pPr>
              <w:pStyle w:val="Gvdemetni0"/>
              <w:spacing w:after="0"/>
              <w:jc w:val="both"/>
              <w:rPr>
                <w:rFonts w:ascii="Times New Roman" w:hAnsi="Times New Roman" w:cs="Times New Roman"/>
                <w:sz w:val="24"/>
                <w:szCs w:val="24"/>
              </w:rPr>
            </w:pPr>
            <w:proofErr w:type="gramStart"/>
            <w:r w:rsidRPr="00E96A2A">
              <w:rPr>
                <w:rFonts w:ascii="Times New Roman" w:hAnsi="Times New Roman" w:cs="Times New Roman"/>
                <w:sz w:val="24"/>
                <w:szCs w:val="24"/>
              </w:rPr>
              <w:t>aynı</w:t>
            </w:r>
            <w:proofErr w:type="gramEnd"/>
            <w:r w:rsidRPr="00E96A2A">
              <w:rPr>
                <w:rFonts w:ascii="Times New Roman" w:hAnsi="Times New Roman" w:cs="Times New Roman"/>
                <w:sz w:val="24"/>
                <w:szCs w:val="24"/>
              </w:rPr>
              <w:t xml:space="preserve"> </w:t>
            </w:r>
            <w:proofErr w:type="spellStart"/>
            <w:r w:rsidRPr="00E96A2A">
              <w:rPr>
                <w:rFonts w:ascii="Times New Roman" w:hAnsi="Times New Roman" w:cs="Times New Roman"/>
                <w:sz w:val="24"/>
                <w:szCs w:val="24"/>
              </w:rPr>
              <w:t>DIMM'lerle</w:t>
            </w:r>
            <w:proofErr w:type="spellEnd"/>
            <w:r w:rsidRPr="00E96A2A">
              <w:rPr>
                <w:rFonts w:ascii="Times New Roman" w:hAnsi="Times New Roman" w:cs="Times New Roman"/>
                <w:sz w:val="24"/>
                <w:szCs w:val="24"/>
              </w:rPr>
              <w:t xml:space="preserve"> yerleştirilmiş tüm bellek kanallarına sahip bir yapılandırma test edilmelidir </w:t>
            </w:r>
            <w:r w:rsidRPr="002D0FC7">
              <w:rPr>
                <w:rFonts w:ascii="Times New Roman" w:hAnsi="Times New Roman" w:cs="Times New Roman"/>
                <w:sz w:val="24"/>
                <w:szCs w:val="24"/>
                <w:vertAlign w:val="superscript"/>
              </w:rPr>
              <w:t>(2)</w:t>
            </w:r>
            <w:r w:rsidR="002D0FC7">
              <w:rPr>
                <w:rFonts w:ascii="Times New Roman" w:hAnsi="Times New Roman" w:cs="Times New Roman"/>
                <w:sz w:val="24"/>
                <w:szCs w:val="24"/>
              </w:rPr>
              <w:t>.</w:t>
            </w:r>
          </w:p>
        </w:tc>
      </w:tr>
      <w:tr w:rsidR="009D39A0" w:rsidRPr="00F41305" w14:paraId="1AF0E8D5" w14:textId="77777777" w:rsidTr="00D52EC8">
        <w:tc>
          <w:tcPr>
            <w:tcW w:w="981" w:type="pct"/>
            <w:vAlign w:val="center"/>
          </w:tcPr>
          <w:p w14:paraId="394F67CC" w14:textId="77777777" w:rsidR="009D39A0" w:rsidRPr="00F41CE5" w:rsidRDefault="009D39A0" w:rsidP="00D52EC8">
            <w:pPr>
              <w:pStyle w:val="Gvdemetni0"/>
              <w:spacing w:after="0"/>
              <w:jc w:val="both"/>
              <w:rPr>
                <w:rFonts w:ascii="Times New Roman" w:hAnsi="Times New Roman" w:cs="Times New Roman"/>
                <w:sz w:val="24"/>
                <w:szCs w:val="24"/>
              </w:rPr>
            </w:pPr>
            <w:r w:rsidRPr="00F41CE5">
              <w:rPr>
                <w:rFonts w:ascii="Times New Roman" w:hAnsi="Times New Roman" w:cs="Times New Roman"/>
                <w:sz w:val="24"/>
                <w:szCs w:val="24"/>
              </w:rPr>
              <w:t>İşlevsiz durum gücü</w:t>
            </w:r>
            <w:r>
              <w:rPr>
                <w:rFonts w:ascii="Times New Roman" w:hAnsi="Times New Roman" w:cs="Times New Roman"/>
                <w:sz w:val="24"/>
                <w:szCs w:val="24"/>
              </w:rPr>
              <w:t xml:space="preserve"> (</w:t>
            </w:r>
            <w:proofErr w:type="spellStart"/>
            <w:r>
              <w:rPr>
                <w:rFonts w:ascii="Times New Roman" w:hAnsi="Times New Roman" w:cs="Times New Roman"/>
                <w:sz w:val="24"/>
                <w:szCs w:val="24"/>
              </w:rPr>
              <w:t>Pidle</w:t>
            </w:r>
            <w:proofErr w:type="spellEnd"/>
            <w:r>
              <w:rPr>
                <w:rFonts w:ascii="Times New Roman" w:hAnsi="Times New Roman" w:cs="Times New Roman"/>
                <w:sz w:val="24"/>
                <w:szCs w:val="24"/>
              </w:rPr>
              <w:t>)</w:t>
            </w:r>
          </w:p>
        </w:tc>
        <w:tc>
          <w:tcPr>
            <w:tcW w:w="573" w:type="pct"/>
            <w:vAlign w:val="center"/>
          </w:tcPr>
          <w:p w14:paraId="364DCA83" w14:textId="77777777" w:rsidR="009D39A0" w:rsidRPr="00F41CE5" w:rsidRDefault="009D39A0" w:rsidP="00D52EC8">
            <w:pPr>
              <w:pStyle w:val="Gvdemetni0"/>
              <w:spacing w:after="0"/>
              <w:jc w:val="both"/>
              <w:rPr>
                <w:rFonts w:ascii="Times New Roman" w:hAnsi="Times New Roman" w:cs="Times New Roman"/>
                <w:sz w:val="24"/>
                <w:szCs w:val="24"/>
              </w:rPr>
            </w:pPr>
            <w:r w:rsidRPr="00F41CE5">
              <w:rPr>
                <w:rFonts w:ascii="Times New Roman" w:hAnsi="Times New Roman" w:cs="Times New Roman"/>
                <w:sz w:val="24"/>
                <w:szCs w:val="24"/>
              </w:rPr>
              <w:t>ETSI</w:t>
            </w:r>
          </w:p>
        </w:tc>
        <w:tc>
          <w:tcPr>
            <w:tcW w:w="1667" w:type="pct"/>
            <w:vAlign w:val="center"/>
          </w:tcPr>
          <w:p w14:paraId="615ECF6A" w14:textId="77777777" w:rsidR="009D39A0" w:rsidRPr="00F41CE5" w:rsidRDefault="009D39A0" w:rsidP="00D52EC8">
            <w:pPr>
              <w:pStyle w:val="Gvdemetni0"/>
              <w:spacing w:after="0"/>
              <w:jc w:val="both"/>
              <w:rPr>
                <w:rFonts w:ascii="Times New Roman" w:hAnsi="Times New Roman" w:cs="Times New Roman"/>
                <w:sz w:val="24"/>
                <w:szCs w:val="24"/>
              </w:rPr>
            </w:pPr>
            <w:r w:rsidRPr="00F41CE5">
              <w:rPr>
                <w:rFonts w:ascii="Times New Roman" w:hAnsi="Times New Roman" w:cs="Times New Roman"/>
                <w:sz w:val="24"/>
                <w:szCs w:val="24"/>
              </w:rPr>
              <w:t>ETSI EN 303470:2019</w:t>
            </w:r>
          </w:p>
        </w:tc>
        <w:tc>
          <w:tcPr>
            <w:tcW w:w="742" w:type="pct"/>
            <w:vAlign w:val="center"/>
          </w:tcPr>
          <w:p w14:paraId="0D480ED2" w14:textId="77777777" w:rsidR="009D39A0" w:rsidRPr="00E96A2A" w:rsidRDefault="009D39A0" w:rsidP="00D52EC8">
            <w:pPr>
              <w:pStyle w:val="Gvdemetni0"/>
              <w:spacing w:after="0"/>
              <w:jc w:val="both"/>
              <w:rPr>
                <w:rFonts w:ascii="Times New Roman" w:hAnsi="Times New Roman" w:cs="Times New Roman"/>
                <w:sz w:val="24"/>
                <w:szCs w:val="24"/>
              </w:rPr>
            </w:pPr>
          </w:p>
        </w:tc>
        <w:tc>
          <w:tcPr>
            <w:tcW w:w="1037" w:type="pct"/>
            <w:vMerge/>
            <w:vAlign w:val="center"/>
          </w:tcPr>
          <w:p w14:paraId="206D44B0" w14:textId="77777777" w:rsidR="009D39A0" w:rsidRPr="00E96A2A" w:rsidRDefault="009D39A0" w:rsidP="00D52EC8">
            <w:pPr>
              <w:pStyle w:val="Gvdemetni0"/>
              <w:spacing w:after="0"/>
              <w:jc w:val="both"/>
              <w:rPr>
                <w:rFonts w:ascii="Times New Roman" w:hAnsi="Times New Roman" w:cs="Times New Roman"/>
                <w:sz w:val="24"/>
                <w:szCs w:val="24"/>
              </w:rPr>
            </w:pPr>
          </w:p>
        </w:tc>
      </w:tr>
      <w:tr w:rsidR="009D39A0" w:rsidRPr="00F41305" w14:paraId="6F95667B" w14:textId="77777777" w:rsidTr="00D52EC8">
        <w:tc>
          <w:tcPr>
            <w:tcW w:w="981" w:type="pct"/>
            <w:vAlign w:val="center"/>
          </w:tcPr>
          <w:p w14:paraId="27210581" w14:textId="77777777" w:rsidR="009D39A0" w:rsidRPr="00586430" w:rsidRDefault="009D39A0" w:rsidP="00D52EC8">
            <w:pPr>
              <w:pStyle w:val="Gvdemetni0"/>
              <w:spacing w:after="0"/>
              <w:jc w:val="both"/>
              <w:rPr>
                <w:rFonts w:ascii="Times New Roman" w:hAnsi="Times New Roman" w:cs="Times New Roman"/>
                <w:sz w:val="24"/>
                <w:szCs w:val="24"/>
              </w:rPr>
            </w:pPr>
            <w:r w:rsidRPr="00586430">
              <w:rPr>
                <w:rFonts w:ascii="Times New Roman" w:hAnsi="Times New Roman" w:cs="Times New Roman"/>
                <w:sz w:val="24"/>
                <w:szCs w:val="24"/>
              </w:rPr>
              <w:t>Maksimum güç</w:t>
            </w:r>
          </w:p>
        </w:tc>
        <w:tc>
          <w:tcPr>
            <w:tcW w:w="573" w:type="pct"/>
            <w:vAlign w:val="center"/>
          </w:tcPr>
          <w:p w14:paraId="38DCDC56" w14:textId="77777777" w:rsidR="009D39A0" w:rsidRPr="00586430" w:rsidRDefault="009D39A0" w:rsidP="00D52EC8">
            <w:pPr>
              <w:pStyle w:val="Gvdemetni0"/>
              <w:spacing w:after="0"/>
              <w:jc w:val="both"/>
              <w:rPr>
                <w:rFonts w:ascii="Times New Roman" w:hAnsi="Times New Roman" w:cs="Times New Roman"/>
                <w:sz w:val="24"/>
                <w:szCs w:val="24"/>
              </w:rPr>
            </w:pPr>
            <w:r w:rsidRPr="00586430">
              <w:rPr>
                <w:rFonts w:ascii="Times New Roman" w:hAnsi="Times New Roman" w:cs="Times New Roman"/>
                <w:sz w:val="24"/>
                <w:szCs w:val="24"/>
              </w:rPr>
              <w:t>ETSI</w:t>
            </w:r>
          </w:p>
        </w:tc>
        <w:tc>
          <w:tcPr>
            <w:tcW w:w="1667" w:type="pct"/>
            <w:vAlign w:val="center"/>
          </w:tcPr>
          <w:p w14:paraId="0BFDAB1C" w14:textId="77777777" w:rsidR="009D39A0" w:rsidRPr="00586430" w:rsidRDefault="009D39A0" w:rsidP="00D52EC8">
            <w:pPr>
              <w:pStyle w:val="Gvdemetni0"/>
              <w:spacing w:after="0"/>
              <w:jc w:val="both"/>
              <w:rPr>
                <w:rFonts w:ascii="Times New Roman" w:hAnsi="Times New Roman" w:cs="Times New Roman"/>
                <w:sz w:val="24"/>
                <w:szCs w:val="24"/>
              </w:rPr>
            </w:pPr>
            <w:r w:rsidRPr="00586430">
              <w:rPr>
                <w:rFonts w:ascii="Times New Roman" w:hAnsi="Times New Roman" w:cs="Times New Roman"/>
                <w:sz w:val="24"/>
                <w:szCs w:val="24"/>
              </w:rPr>
              <w:t>ETSI EN 303470:2019</w:t>
            </w:r>
          </w:p>
        </w:tc>
        <w:tc>
          <w:tcPr>
            <w:tcW w:w="742" w:type="pct"/>
            <w:vAlign w:val="center"/>
          </w:tcPr>
          <w:p w14:paraId="1D99F8D0" w14:textId="77777777" w:rsidR="009D39A0" w:rsidRPr="00E96A2A" w:rsidRDefault="009D39A0" w:rsidP="00D52EC8">
            <w:pPr>
              <w:pStyle w:val="Gvdemetni0"/>
              <w:spacing w:after="0"/>
              <w:jc w:val="both"/>
              <w:rPr>
                <w:rFonts w:ascii="Times New Roman" w:hAnsi="Times New Roman" w:cs="Times New Roman"/>
                <w:sz w:val="24"/>
                <w:szCs w:val="24"/>
              </w:rPr>
            </w:pPr>
            <w:r w:rsidRPr="00E96A2A">
              <w:rPr>
                <w:rFonts w:ascii="Times New Roman" w:hAnsi="Times New Roman" w:cs="Times New Roman"/>
                <w:sz w:val="24"/>
                <w:szCs w:val="24"/>
              </w:rPr>
              <w:t>Maksimum güç herhangi bir tekil iş yükü ve yük seviyesi altında test edilen SERT tarafından rapor edilen en yüksek ölçülen güç tüketimidir.</w:t>
            </w:r>
          </w:p>
        </w:tc>
        <w:tc>
          <w:tcPr>
            <w:tcW w:w="1037" w:type="pct"/>
            <w:vMerge/>
            <w:vAlign w:val="center"/>
          </w:tcPr>
          <w:p w14:paraId="36EAFA69" w14:textId="77777777" w:rsidR="009D39A0" w:rsidRPr="00E96A2A" w:rsidRDefault="009D39A0" w:rsidP="00D52EC8">
            <w:pPr>
              <w:pStyle w:val="Gvdemetni0"/>
              <w:spacing w:after="0"/>
              <w:jc w:val="both"/>
              <w:rPr>
                <w:rFonts w:ascii="Times New Roman" w:hAnsi="Times New Roman" w:cs="Times New Roman"/>
                <w:sz w:val="24"/>
                <w:szCs w:val="24"/>
              </w:rPr>
            </w:pPr>
          </w:p>
        </w:tc>
      </w:tr>
      <w:tr w:rsidR="009D39A0" w:rsidRPr="006F715C" w14:paraId="6AEDAF94" w14:textId="77777777" w:rsidTr="00D52EC8">
        <w:tc>
          <w:tcPr>
            <w:tcW w:w="981" w:type="pct"/>
            <w:vAlign w:val="center"/>
          </w:tcPr>
          <w:p w14:paraId="518982CE" w14:textId="77777777" w:rsidR="009D39A0" w:rsidRPr="006F715C" w:rsidRDefault="009D39A0" w:rsidP="00D52EC8">
            <w:pPr>
              <w:pStyle w:val="Gvdemetni0"/>
              <w:spacing w:after="0"/>
              <w:jc w:val="both"/>
              <w:rPr>
                <w:rFonts w:ascii="Times New Roman" w:hAnsi="Times New Roman" w:cs="Times New Roman"/>
                <w:sz w:val="24"/>
                <w:szCs w:val="24"/>
              </w:rPr>
            </w:pPr>
            <w:r w:rsidRPr="006F715C">
              <w:rPr>
                <w:rFonts w:ascii="Times New Roman" w:hAnsi="Times New Roman" w:cs="Times New Roman"/>
                <w:sz w:val="24"/>
                <w:szCs w:val="24"/>
              </w:rPr>
              <w:t>Beyan edilen çalışma koşulu sınıfının daha yüksek sınır sıcaklığındaki işlevsiz durum gücü</w:t>
            </w:r>
          </w:p>
        </w:tc>
        <w:tc>
          <w:tcPr>
            <w:tcW w:w="573" w:type="pct"/>
            <w:vAlign w:val="center"/>
          </w:tcPr>
          <w:p w14:paraId="236BF812" w14:textId="77777777" w:rsidR="009D39A0" w:rsidRPr="006F715C" w:rsidRDefault="009D39A0" w:rsidP="00D52EC8">
            <w:pPr>
              <w:pStyle w:val="Gvdemetni0"/>
              <w:spacing w:after="0"/>
              <w:jc w:val="both"/>
              <w:rPr>
                <w:rFonts w:ascii="Times New Roman" w:hAnsi="Times New Roman" w:cs="Times New Roman"/>
                <w:sz w:val="24"/>
                <w:szCs w:val="24"/>
              </w:rPr>
            </w:pPr>
            <w:proofErr w:type="spellStart"/>
            <w:r w:rsidRPr="006F715C">
              <w:rPr>
                <w:rFonts w:ascii="Times New Roman" w:hAnsi="Times New Roman" w:cs="Times New Roman"/>
                <w:sz w:val="24"/>
                <w:szCs w:val="24"/>
              </w:rPr>
              <w:t>The</w:t>
            </w:r>
            <w:proofErr w:type="spellEnd"/>
            <w:r w:rsidRPr="006F715C">
              <w:rPr>
                <w:rFonts w:ascii="Times New Roman" w:hAnsi="Times New Roman" w:cs="Times New Roman"/>
                <w:sz w:val="24"/>
                <w:szCs w:val="24"/>
              </w:rPr>
              <w:t xml:space="preserve"> </w:t>
            </w:r>
            <w:proofErr w:type="spellStart"/>
            <w:r w:rsidRPr="006F715C">
              <w:rPr>
                <w:rFonts w:ascii="Times New Roman" w:hAnsi="Times New Roman" w:cs="Times New Roman"/>
                <w:sz w:val="24"/>
                <w:szCs w:val="24"/>
              </w:rPr>
              <w:t>Green</w:t>
            </w:r>
            <w:proofErr w:type="spellEnd"/>
            <w:r w:rsidRPr="006F715C">
              <w:rPr>
                <w:rFonts w:ascii="Times New Roman" w:hAnsi="Times New Roman" w:cs="Times New Roman"/>
                <w:sz w:val="24"/>
                <w:szCs w:val="24"/>
              </w:rPr>
              <w:t xml:space="preserve"> </w:t>
            </w:r>
            <w:proofErr w:type="spellStart"/>
            <w:r w:rsidRPr="006F715C">
              <w:rPr>
                <w:rFonts w:ascii="Times New Roman" w:hAnsi="Times New Roman" w:cs="Times New Roman"/>
                <w:sz w:val="24"/>
                <w:szCs w:val="24"/>
              </w:rPr>
              <w:t>Grid</w:t>
            </w:r>
            <w:proofErr w:type="spellEnd"/>
          </w:p>
        </w:tc>
        <w:tc>
          <w:tcPr>
            <w:tcW w:w="1667" w:type="pct"/>
            <w:vAlign w:val="center"/>
          </w:tcPr>
          <w:p w14:paraId="00189F36" w14:textId="77777777" w:rsidR="009D39A0" w:rsidRPr="006F715C" w:rsidRDefault="009D39A0" w:rsidP="00D52EC8">
            <w:pPr>
              <w:pStyle w:val="Gvdemetni0"/>
              <w:spacing w:after="0"/>
              <w:jc w:val="both"/>
              <w:rPr>
                <w:rFonts w:ascii="Times New Roman" w:hAnsi="Times New Roman" w:cs="Times New Roman"/>
                <w:sz w:val="24"/>
                <w:szCs w:val="24"/>
              </w:rPr>
            </w:pPr>
            <w:r w:rsidRPr="006F715C">
              <w:rPr>
                <w:rFonts w:ascii="Times New Roman" w:hAnsi="Times New Roman" w:cs="Times New Roman"/>
                <w:sz w:val="24"/>
                <w:szCs w:val="24"/>
              </w:rPr>
              <w:t>Bu Tebliğin sert koleksiyonu için basitleştirilmiş yüksek sıcaklık işlevsiz durum gücü raporlaması</w:t>
            </w:r>
          </w:p>
        </w:tc>
        <w:tc>
          <w:tcPr>
            <w:tcW w:w="1779" w:type="pct"/>
            <w:gridSpan w:val="2"/>
            <w:vAlign w:val="center"/>
          </w:tcPr>
          <w:p w14:paraId="4BA097D5" w14:textId="77777777" w:rsidR="009D39A0" w:rsidRPr="006F715C" w:rsidRDefault="009D39A0" w:rsidP="00D52EC8">
            <w:pPr>
              <w:pStyle w:val="Gvdemetni0"/>
              <w:spacing w:after="0"/>
              <w:jc w:val="both"/>
              <w:rPr>
                <w:rFonts w:ascii="Times New Roman" w:hAnsi="Times New Roman" w:cs="Times New Roman"/>
                <w:sz w:val="24"/>
                <w:szCs w:val="24"/>
              </w:rPr>
            </w:pPr>
            <w:r w:rsidRPr="00FF7517">
              <w:rPr>
                <w:rFonts w:ascii="Times New Roman" w:hAnsi="Times New Roman" w:cs="Times New Roman"/>
                <w:sz w:val="24"/>
                <w:szCs w:val="24"/>
              </w:rPr>
              <w:t xml:space="preserve">Test, belirli çalışma koşulu sınıfı (A1, A2, A3 veya A4) için izin verilen en yüksek sıcaklığa karşılık gelen sıcaklıkta </w:t>
            </w:r>
            <w:r>
              <w:rPr>
                <w:rFonts w:ascii="Times New Roman" w:hAnsi="Times New Roman" w:cs="Times New Roman"/>
                <w:sz w:val="24"/>
                <w:szCs w:val="24"/>
              </w:rPr>
              <w:t>yapılmalıdır</w:t>
            </w:r>
            <w:r w:rsidRPr="00FF7517">
              <w:rPr>
                <w:rFonts w:ascii="Times New Roman" w:hAnsi="Times New Roman" w:cs="Times New Roman"/>
                <w:sz w:val="24"/>
                <w:szCs w:val="24"/>
              </w:rPr>
              <w:t>.</w:t>
            </w:r>
          </w:p>
        </w:tc>
      </w:tr>
      <w:tr w:rsidR="009D39A0" w:rsidRPr="00F41305" w14:paraId="1B3F75B9" w14:textId="77777777" w:rsidTr="00D52EC8">
        <w:tc>
          <w:tcPr>
            <w:tcW w:w="981" w:type="pct"/>
            <w:vAlign w:val="center"/>
          </w:tcPr>
          <w:p w14:paraId="3B75A924" w14:textId="77777777" w:rsidR="009D39A0" w:rsidRPr="00993A3A" w:rsidRDefault="009D39A0" w:rsidP="00D52EC8">
            <w:pPr>
              <w:pStyle w:val="Gvdemetni0"/>
              <w:spacing w:after="0"/>
              <w:jc w:val="both"/>
              <w:rPr>
                <w:rFonts w:ascii="Times New Roman" w:hAnsi="Times New Roman" w:cs="Times New Roman"/>
                <w:sz w:val="24"/>
                <w:szCs w:val="24"/>
              </w:rPr>
            </w:pPr>
            <w:r w:rsidRPr="00993A3A">
              <w:rPr>
                <w:rFonts w:ascii="Times New Roman" w:hAnsi="Times New Roman" w:cs="Times New Roman"/>
                <w:sz w:val="24"/>
                <w:szCs w:val="24"/>
              </w:rPr>
              <w:t>Güç kaynağı verimliliği</w:t>
            </w:r>
          </w:p>
        </w:tc>
        <w:tc>
          <w:tcPr>
            <w:tcW w:w="573" w:type="pct"/>
            <w:vAlign w:val="center"/>
          </w:tcPr>
          <w:p w14:paraId="2BE6A4F8" w14:textId="77777777" w:rsidR="009D39A0" w:rsidRPr="00993A3A" w:rsidRDefault="009D39A0" w:rsidP="00D52EC8">
            <w:pPr>
              <w:pStyle w:val="Gvdemetni0"/>
              <w:spacing w:after="0"/>
              <w:jc w:val="both"/>
              <w:rPr>
                <w:rFonts w:ascii="Times New Roman" w:hAnsi="Times New Roman" w:cs="Times New Roman"/>
                <w:sz w:val="24"/>
                <w:szCs w:val="24"/>
              </w:rPr>
            </w:pPr>
            <w:r w:rsidRPr="00993A3A">
              <w:rPr>
                <w:rFonts w:ascii="Times New Roman" w:hAnsi="Times New Roman" w:cs="Times New Roman"/>
                <w:sz w:val="24"/>
                <w:szCs w:val="24"/>
              </w:rPr>
              <w:t xml:space="preserve">EPRI ve </w:t>
            </w:r>
            <w:proofErr w:type="spellStart"/>
            <w:r w:rsidRPr="00993A3A">
              <w:rPr>
                <w:rFonts w:ascii="Times New Roman" w:hAnsi="Times New Roman" w:cs="Times New Roman"/>
                <w:sz w:val="24"/>
                <w:szCs w:val="24"/>
              </w:rPr>
              <w:t>Ecova</w:t>
            </w:r>
            <w:proofErr w:type="spellEnd"/>
          </w:p>
        </w:tc>
        <w:tc>
          <w:tcPr>
            <w:tcW w:w="1667" w:type="pct"/>
            <w:vAlign w:val="center"/>
          </w:tcPr>
          <w:p w14:paraId="4A537E3B" w14:textId="77777777" w:rsidR="009D39A0" w:rsidRPr="00993A3A" w:rsidRDefault="009D39A0" w:rsidP="00D52EC8">
            <w:pPr>
              <w:pStyle w:val="Gvdemetni0"/>
              <w:spacing w:after="0"/>
              <w:jc w:val="both"/>
              <w:rPr>
                <w:rFonts w:ascii="Times New Roman" w:hAnsi="Times New Roman" w:cs="Times New Roman"/>
                <w:sz w:val="24"/>
                <w:szCs w:val="24"/>
              </w:rPr>
            </w:pPr>
            <w:r w:rsidRPr="00993A3A">
              <w:rPr>
                <w:rFonts w:ascii="Times New Roman" w:hAnsi="Times New Roman" w:cs="Times New Roman"/>
                <w:sz w:val="24"/>
                <w:szCs w:val="24"/>
              </w:rPr>
              <w:t>Dâhili AC-DC ve DC-DC Güç Kaynaklarının Enerji Verimliliğini Hesaplamak İçin Genelleştirilmiş Test Protokolü Revizyon 6.7</w:t>
            </w:r>
          </w:p>
        </w:tc>
        <w:tc>
          <w:tcPr>
            <w:tcW w:w="1779" w:type="pct"/>
            <w:gridSpan w:val="2"/>
            <w:vMerge w:val="restart"/>
            <w:vAlign w:val="center"/>
          </w:tcPr>
          <w:p w14:paraId="001E89DC" w14:textId="42CF4BF6" w:rsidR="009D39A0" w:rsidRPr="00993A3A" w:rsidRDefault="009D39A0" w:rsidP="00D52EC8">
            <w:pPr>
              <w:pStyle w:val="Gvdemetni0"/>
              <w:spacing w:after="0"/>
              <w:jc w:val="both"/>
              <w:rPr>
                <w:rFonts w:ascii="Times New Roman" w:hAnsi="Times New Roman" w:cs="Times New Roman"/>
                <w:sz w:val="24"/>
                <w:szCs w:val="24"/>
              </w:rPr>
            </w:pPr>
            <w:r w:rsidRPr="00993A3A">
              <w:rPr>
                <w:rFonts w:ascii="Times New Roman" w:hAnsi="Times New Roman" w:cs="Times New Roman"/>
                <w:sz w:val="24"/>
                <w:szCs w:val="24"/>
              </w:rPr>
              <w:t>Test işlemi uygun bir AB voltajı ve frekansında (örn</w:t>
            </w:r>
            <w:r w:rsidR="002D0FC7">
              <w:rPr>
                <w:rFonts w:ascii="Times New Roman" w:hAnsi="Times New Roman" w:cs="Times New Roman"/>
                <w:sz w:val="24"/>
                <w:szCs w:val="24"/>
              </w:rPr>
              <w:t>eğin</w:t>
            </w:r>
            <w:r w:rsidRPr="00993A3A">
              <w:rPr>
                <w:rFonts w:ascii="Times New Roman" w:hAnsi="Times New Roman" w:cs="Times New Roman"/>
                <w:sz w:val="24"/>
                <w:szCs w:val="24"/>
              </w:rPr>
              <w:t xml:space="preserve"> 230v, 50Hz) yapılmalıdır.</w:t>
            </w:r>
          </w:p>
          <w:p w14:paraId="2E9B6A08" w14:textId="77777777" w:rsidR="009D39A0" w:rsidRPr="00F41305" w:rsidRDefault="009D39A0" w:rsidP="00D52EC8">
            <w:pPr>
              <w:pStyle w:val="Gvdemetni0"/>
              <w:spacing w:after="0"/>
              <w:jc w:val="both"/>
              <w:rPr>
                <w:rFonts w:ascii="Times New Roman" w:hAnsi="Times New Roman" w:cs="Times New Roman"/>
                <w:color w:val="FF0000"/>
                <w:sz w:val="24"/>
                <w:szCs w:val="24"/>
              </w:rPr>
            </w:pPr>
          </w:p>
        </w:tc>
      </w:tr>
      <w:tr w:rsidR="009D39A0" w:rsidRPr="00F41305" w14:paraId="3A5605D1" w14:textId="77777777" w:rsidTr="00D52EC8">
        <w:tc>
          <w:tcPr>
            <w:tcW w:w="981" w:type="pct"/>
            <w:vAlign w:val="center"/>
          </w:tcPr>
          <w:p w14:paraId="6C9400A3" w14:textId="77777777" w:rsidR="009D39A0" w:rsidRPr="007A0E44" w:rsidRDefault="009D39A0" w:rsidP="00D52EC8">
            <w:pPr>
              <w:pStyle w:val="Gvdemetni0"/>
              <w:spacing w:after="0"/>
              <w:jc w:val="both"/>
              <w:rPr>
                <w:rFonts w:ascii="Times New Roman" w:hAnsi="Times New Roman" w:cs="Times New Roman"/>
                <w:sz w:val="24"/>
                <w:szCs w:val="24"/>
              </w:rPr>
            </w:pPr>
            <w:r w:rsidRPr="007A0E44">
              <w:rPr>
                <w:rFonts w:ascii="Times New Roman" w:hAnsi="Times New Roman" w:cs="Times New Roman"/>
                <w:sz w:val="24"/>
                <w:szCs w:val="24"/>
              </w:rPr>
              <w:t>Güç kaynağı Güç Faktörü</w:t>
            </w:r>
          </w:p>
        </w:tc>
        <w:tc>
          <w:tcPr>
            <w:tcW w:w="573" w:type="pct"/>
            <w:vAlign w:val="center"/>
          </w:tcPr>
          <w:p w14:paraId="04E96388" w14:textId="77777777" w:rsidR="009D39A0" w:rsidRPr="007A0E44" w:rsidRDefault="009D39A0" w:rsidP="00D52EC8">
            <w:pPr>
              <w:pStyle w:val="Gvdemetni0"/>
              <w:spacing w:after="0"/>
              <w:jc w:val="both"/>
              <w:rPr>
                <w:rFonts w:ascii="Times New Roman" w:hAnsi="Times New Roman" w:cs="Times New Roman"/>
                <w:sz w:val="24"/>
                <w:szCs w:val="24"/>
              </w:rPr>
            </w:pPr>
            <w:r w:rsidRPr="007A0E44">
              <w:rPr>
                <w:rFonts w:ascii="Times New Roman" w:hAnsi="Times New Roman" w:cs="Times New Roman"/>
                <w:sz w:val="24"/>
                <w:szCs w:val="24"/>
              </w:rPr>
              <w:t xml:space="preserve">EPRI ve </w:t>
            </w:r>
            <w:proofErr w:type="spellStart"/>
            <w:r w:rsidRPr="007A0E44">
              <w:rPr>
                <w:rFonts w:ascii="Times New Roman" w:hAnsi="Times New Roman" w:cs="Times New Roman"/>
                <w:sz w:val="24"/>
                <w:szCs w:val="24"/>
              </w:rPr>
              <w:t>Ecova</w:t>
            </w:r>
            <w:proofErr w:type="spellEnd"/>
          </w:p>
        </w:tc>
        <w:tc>
          <w:tcPr>
            <w:tcW w:w="1667" w:type="pct"/>
            <w:vAlign w:val="center"/>
          </w:tcPr>
          <w:p w14:paraId="089C04B1" w14:textId="77777777" w:rsidR="009D39A0" w:rsidRPr="00B507DE" w:rsidRDefault="009D39A0" w:rsidP="00D52EC8">
            <w:pPr>
              <w:pStyle w:val="Gvdemetni0"/>
              <w:spacing w:after="0"/>
              <w:jc w:val="both"/>
              <w:rPr>
                <w:rFonts w:ascii="Times New Roman" w:hAnsi="Times New Roman" w:cs="Times New Roman"/>
                <w:sz w:val="24"/>
                <w:szCs w:val="24"/>
              </w:rPr>
            </w:pPr>
            <w:r w:rsidRPr="00B507DE">
              <w:rPr>
                <w:rFonts w:ascii="Times New Roman" w:hAnsi="Times New Roman" w:cs="Times New Roman"/>
                <w:sz w:val="24"/>
                <w:szCs w:val="24"/>
              </w:rPr>
              <w:t>Dâhili AC-DC ve DC-DC Güç Kaynaklarının Enerji Verimliliğini Hesaplamak İçin Genelleştirilmiş Test Protokolü Revizyon 6.7</w:t>
            </w:r>
          </w:p>
        </w:tc>
        <w:tc>
          <w:tcPr>
            <w:tcW w:w="1779" w:type="pct"/>
            <w:gridSpan w:val="2"/>
            <w:vMerge/>
            <w:vAlign w:val="center"/>
          </w:tcPr>
          <w:p w14:paraId="646CBB30" w14:textId="77777777" w:rsidR="009D39A0" w:rsidRPr="00F41305" w:rsidRDefault="009D39A0" w:rsidP="00D52EC8">
            <w:pPr>
              <w:pStyle w:val="Gvdemetni0"/>
              <w:spacing w:after="0"/>
              <w:jc w:val="center"/>
              <w:rPr>
                <w:rFonts w:ascii="Times New Roman" w:hAnsi="Times New Roman" w:cs="Times New Roman"/>
                <w:color w:val="FF0000"/>
                <w:sz w:val="24"/>
                <w:szCs w:val="24"/>
              </w:rPr>
            </w:pPr>
          </w:p>
        </w:tc>
      </w:tr>
      <w:tr w:rsidR="009D39A0" w:rsidRPr="00F41305" w14:paraId="33870C54" w14:textId="77777777" w:rsidTr="00D52EC8">
        <w:tc>
          <w:tcPr>
            <w:tcW w:w="981" w:type="pct"/>
            <w:vAlign w:val="center"/>
          </w:tcPr>
          <w:p w14:paraId="1129F38D" w14:textId="77777777" w:rsidR="009D39A0" w:rsidRPr="00960F37" w:rsidRDefault="009D39A0" w:rsidP="00D52EC8">
            <w:pPr>
              <w:pStyle w:val="Gvdemetni0"/>
              <w:spacing w:after="0"/>
              <w:jc w:val="both"/>
              <w:rPr>
                <w:rFonts w:ascii="Times New Roman" w:hAnsi="Times New Roman" w:cs="Times New Roman"/>
                <w:sz w:val="24"/>
                <w:szCs w:val="24"/>
              </w:rPr>
            </w:pPr>
            <w:r w:rsidRPr="00960F37">
              <w:rPr>
                <w:rFonts w:ascii="Times New Roman" w:hAnsi="Times New Roman" w:cs="Times New Roman"/>
                <w:sz w:val="24"/>
                <w:szCs w:val="24"/>
              </w:rPr>
              <w:t>Çalışma koşulu sınıfı</w:t>
            </w:r>
          </w:p>
        </w:tc>
        <w:tc>
          <w:tcPr>
            <w:tcW w:w="573" w:type="pct"/>
            <w:vAlign w:val="center"/>
          </w:tcPr>
          <w:p w14:paraId="11712CC9" w14:textId="77777777" w:rsidR="009D39A0" w:rsidRPr="00F41305" w:rsidRDefault="009D39A0" w:rsidP="00D52EC8">
            <w:pPr>
              <w:pStyle w:val="Gvdemetni0"/>
              <w:spacing w:after="0"/>
              <w:jc w:val="center"/>
              <w:rPr>
                <w:rFonts w:ascii="Times New Roman" w:hAnsi="Times New Roman" w:cs="Times New Roman"/>
                <w:color w:val="FF0000"/>
                <w:sz w:val="24"/>
                <w:szCs w:val="24"/>
              </w:rPr>
            </w:pPr>
          </w:p>
        </w:tc>
        <w:tc>
          <w:tcPr>
            <w:tcW w:w="1667" w:type="pct"/>
            <w:vAlign w:val="center"/>
          </w:tcPr>
          <w:p w14:paraId="3DCFD637" w14:textId="73B15FCB" w:rsidR="009D39A0" w:rsidRPr="00F41305" w:rsidRDefault="009D39A0" w:rsidP="00D52EC8">
            <w:pPr>
              <w:pStyle w:val="Gvdemetni0"/>
              <w:spacing w:after="0"/>
              <w:jc w:val="both"/>
              <w:rPr>
                <w:rFonts w:ascii="Times New Roman" w:hAnsi="Times New Roman" w:cs="Times New Roman"/>
                <w:color w:val="FF0000"/>
                <w:sz w:val="24"/>
                <w:szCs w:val="24"/>
              </w:rPr>
            </w:pPr>
            <w:r w:rsidRPr="00AB1F67">
              <w:rPr>
                <w:rFonts w:ascii="Times New Roman" w:hAnsi="Times New Roman" w:cs="Times New Roman"/>
                <w:sz w:val="24"/>
                <w:szCs w:val="24"/>
              </w:rPr>
              <w:t>İmalatçı ürünün çalışma koşulu sınıfını A1, A2, A3 veya A4 olarak beyan etmek zorundadır. Test edilen birim, modelin uygun olduğu beyan edilen özel çalışma koşulu sınıfı için (A1, A2, A3 veya A4) izin verilen en yüksek sıcaklık değerine karşılık gelen bir sıcaklığa yerleştirilir.</w:t>
            </w:r>
            <w:r w:rsidRPr="00AC7373">
              <w:rPr>
                <w:rFonts w:ascii="Times New Roman" w:hAnsi="Times New Roman" w:cs="Times New Roman"/>
                <w:sz w:val="24"/>
                <w:szCs w:val="24"/>
              </w:rPr>
              <w:t xml:space="preserve"> Birim Sunucu Verimliliği Değerlendirme Aracına (SERT- Server </w:t>
            </w:r>
            <w:proofErr w:type="spellStart"/>
            <w:r w:rsidRPr="00AC7373">
              <w:rPr>
                <w:rFonts w:ascii="Times New Roman" w:hAnsi="Times New Roman" w:cs="Times New Roman"/>
                <w:sz w:val="24"/>
                <w:szCs w:val="24"/>
              </w:rPr>
              <w:t>Efficiency</w:t>
            </w:r>
            <w:proofErr w:type="spellEnd"/>
            <w:r w:rsidRPr="00AC7373">
              <w:rPr>
                <w:rFonts w:ascii="Times New Roman" w:hAnsi="Times New Roman" w:cs="Times New Roman"/>
                <w:sz w:val="24"/>
                <w:szCs w:val="24"/>
              </w:rPr>
              <w:t xml:space="preserve"> </w:t>
            </w:r>
            <w:proofErr w:type="spellStart"/>
            <w:r w:rsidRPr="00AC7373">
              <w:rPr>
                <w:rFonts w:ascii="Times New Roman" w:hAnsi="Times New Roman" w:cs="Times New Roman"/>
                <w:sz w:val="24"/>
                <w:szCs w:val="24"/>
              </w:rPr>
              <w:t>Rating</w:t>
            </w:r>
            <w:proofErr w:type="spellEnd"/>
            <w:r w:rsidRPr="00AC7373">
              <w:rPr>
                <w:rFonts w:ascii="Times New Roman" w:hAnsi="Times New Roman" w:cs="Times New Roman"/>
                <w:sz w:val="24"/>
                <w:szCs w:val="24"/>
              </w:rPr>
              <w:t xml:space="preserve"> </w:t>
            </w:r>
            <w:proofErr w:type="spellStart"/>
            <w:r w:rsidRPr="00AC7373">
              <w:rPr>
                <w:rFonts w:ascii="Times New Roman" w:hAnsi="Times New Roman" w:cs="Times New Roman"/>
                <w:sz w:val="24"/>
                <w:szCs w:val="24"/>
              </w:rPr>
              <w:t>Tool</w:t>
            </w:r>
            <w:proofErr w:type="spellEnd"/>
            <w:r w:rsidRPr="00AC7373">
              <w:rPr>
                <w:rFonts w:ascii="Times New Roman" w:hAnsi="Times New Roman" w:cs="Times New Roman"/>
                <w:sz w:val="24"/>
                <w:szCs w:val="24"/>
              </w:rPr>
              <w:t xml:space="preserve">) göre test edilir ve 16 saatlik bir süre boyunca test döngüsü (döngüleri) </w:t>
            </w:r>
            <w:r w:rsidRPr="00A53B8E">
              <w:rPr>
                <w:rFonts w:ascii="Times New Roman" w:hAnsi="Times New Roman" w:cs="Times New Roman"/>
                <w:sz w:val="24"/>
                <w:szCs w:val="24"/>
              </w:rPr>
              <w:t xml:space="preserve">sürdürülür. Eğer SERT geçerli sonuçlar </w:t>
            </w:r>
            <w:r w:rsidRPr="00A53B8E">
              <w:rPr>
                <w:rFonts w:ascii="Times New Roman" w:hAnsi="Times New Roman" w:cs="Times New Roman"/>
                <w:sz w:val="24"/>
                <w:szCs w:val="24"/>
              </w:rPr>
              <w:lastRenderedPageBreak/>
              <w:t xml:space="preserve">verirse (Örneğin, </w:t>
            </w:r>
            <w:r w:rsidR="002D0FC7">
              <w:rPr>
                <w:rFonts w:ascii="Times New Roman" w:hAnsi="Times New Roman" w:cs="Times New Roman"/>
                <w:sz w:val="24"/>
                <w:szCs w:val="24"/>
              </w:rPr>
              <w:t>e</w:t>
            </w:r>
            <w:r w:rsidR="002D0FC7" w:rsidRPr="00A53B8E">
              <w:rPr>
                <w:rFonts w:ascii="Times New Roman" w:hAnsi="Times New Roman" w:cs="Times New Roman"/>
                <w:sz w:val="24"/>
                <w:szCs w:val="24"/>
              </w:rPr>
              <w:t xml:space="preserve">ğer </w:t>
            </w:r>
            <w:r w:rsidRPr="00A53B8E">
              <w:rPr>
                <w:rFonts w:ascii="Times New Roman" w:hAnsi="Times New Roman" w:cs="Times New Roman"/>
                <w:sz w:val="24"/>
                <w:szCs w:val="24"/>
              </w:rPr>
              <w:t>test edilen birim 16 saatlik testin tamamı boyunca çalışır durumda ise) birimin beyan edilen çalışma koşulu ile uygun olduğu kabul edilir.</w:t>
            </w:r>
          </w:p>
        </w:tc>
        <w:tc>
          <w:tcPr>
            <w:tcW w:w="1779" w:type="pct"/>
            <w:gridSpan w:val="2"/>
            <w:vAlign w:val="center"/>
          </w:tcPr>
          <w:p w14:paraId="6959C27C" w14:textId="77777777" w:rsidR="009D39A0" w:rsidRPr="00F41305" w:rsidRDefault="009D39A0" w:rsidP="00D52EC8">
            <w:pPr>
              <w:pStyle w:val="Gvdemetni0"/>
              <w:spacing w:after="0"/>
              <w:jc w:val="both"/>
              <w:rPr>
                <w:rFonts w:ascii="Times New Roman" w:hAnsi="Times New Roman" w:cs="Times New Roman"/>
                <w:color w:val="FF0000"/>
                <w:sz w:val="24"/>
                <w:szCs w:val="24"/>
              </w:rPr>
            </w:pPr>
            <w:r w:rsidRPr="0004077C">
              <w:rPr>
                <w:rFonts w:ascii="Times New Roman" w:hAnsi="Times New Roman" w:cs="Times New Roman"/>
                <w:sz w:val="24"/>
                <w:szCs w:val="24"/>
              </w:rPr>
              <w:lastRenderedPageBreak/>
              <w:t xml:space="preserve">Test edilen birim, belirli çalışma koşulu sınıfı (A1, A2, A3 veya A4) için sıcaklığı, dakikada maksimum 0,5 °C değişim hızıyla izin verilen en yüksek sıcaklığa yükseltilen bir sıcaklık odasına yerleştirilmelidir. </w:t>
            </w:r>
            <w:r w:rsidRPr="00A40455">
              <w:rPr>
                <w:rFonts w:ascii="Times New Roman" w:hAnsi="Times New Roman" w:cs="Times New Roman"/>
                <w:sz w:val="24"/>
                <w:szCs w:val="24"/>
              </w:rPr>
              <w:t>Test edilen birim, teste başlamadan önce sabit sıcaklık durumuna ulaşmak için 1 saat boşta bırakılmalıdır.</w:t>
            </w:r>
          </w:p>
        </w:tc>
      </w:tr>
      <w:tr w:rsidR="009D39A0" w:rsidRPr="00F41305" w14:paraId="5683E1E7" w14:textId="77777777" w:rsidTr="00D52EC8">
        <w:tc>
          <w:tcPr>
            <w:tcW w:w="981" w:type="pct"/>
            <w:vAlign w:val="center"/>
          </w:tcPr>
          <w:p w14:paraId="5EF0C0F7" w14:textId="77777777" w:rsidR="009D39A0" w:rsidRPr="00E128FC" w:rsidRDefault="009D39A0" w:rsidP="00D52EC8">
            <w:pPr>
              <w:pStyle w:val="Gvdemetni0"/>
              <w:spacing w:after="0"/>
              <w:rPr>
                <w:rFonts w:ascii="Times New Roman" w:hAnsi="Times New Roman" w:cs="Times New Roman"/>
                <w:sz w:val="24"/>
                <w:szCs w:val="24"/>
              </w:rPr>
            </w:pPr>
            <w:r w:rsidRPr="00E128FC">
              <w:rPr>
                <w:rFonts w:ascii="Times New Roman" w:hAnsi="Times New Roman" w:cs="Times New Roman"/>
                <w:sz w:val="24"/>
                <w:szCs w:val="24"/>
              </w:rPr>
              <w:t>Bellenimin kullanılabilirliği</w:t>
            </w:r>
          </w:p>
        </w:tc>
        <w:tc>
          <w:tcPr>
            <w:tcW w:w="573" w:type="pct"/>
            <w:vAlign w:val="center"/>
          </w:tcPr>
          <w:p w14:paraId="5527A463" w14:textId="77777777" w:rsidR="009D39A0" w:rsidRPr="00F41305" w:rsidRDefault="009D39A0" w:rsidP="00D52EC8">
            <w:pPr>
              <w:pStyle w:val="Gvdemetni0"/>
              <w:spacing w:after="0"/>
              <w:jc w:val="center"/>
              <w:rPr>
                <w:rFonts w:ascii="Times New Roman" w:hAnsi="Times New Roman" w:cs="Times New Roman"/>
                <w:color w:val="FF0000"/>
                <w:sz w:val="24"/>
                <w:szCs w:val="24"/>
              </w:rPr>
            </w:pPr>
          </w:p>
        </w:tc>
        <w:tc>
          <w:tcPr>
            <w:tcW w:w="1667" w:type="pct"/>
            <w:vAlign w:val="center"/>
          </w:tcPr>
          <w:p w14:paraId="6CDA4FF1" w14:textId="77777777" w:rsidR="009D39A0" w:rsidRPr="00E128FC" w:rsidRDefault="009D39A0" w:rsidP="002D0FC7">
            <w:pPr>
              <w:pStyle w:val="Gvdemetni0"/>
              <w:spacing w:after="0"/>
              <w:rPr>
                <w:rFonts w:ascii="Times New Roman" w:hAnsi="Times New Roman" w:cs="Times New Roman"/>
                <w:sz w:val="24"/>
                <w:szCs w:val="24"/>
              </w:rPr>
            </w:pPr>
            <w:r w:rsidRPr="00E128FC">
              <w:rPr>
                <w:rFonts w:ascii="Times New Roman" w:hAnsi="Times New Roman" w:cs="Times New Roman"/>
                <w:sz w:val="24"/>
                <w:szCs w:val="24"/>
              </w:rPr>
              <w:t>Mevcut değil</w:t>
            </w:r>
          </w:p>
        </w:tc>
        <w:tc>
          <w:tcPr>
            <w:tcW w:w="1779" w:type="pct"/>
            <w:gridSpan w:val="2"/>
            <w:vAlign w:val="center"/>
          </w:tcPr>
          <w:p w14:paraId="0E39B28F" w14:textId="77777777" w:rsidR="009D39A0" w:rsidRPr="00F41305" w:rsidRDefault="009D39A0" w:rsidP="00D52EC8">
            <w:pPr>
              <w:pStyle w:val="Gvdemetni0"/>
              <w:spacing w:after="0"/>
              <w:jc w:val="center"/>
              <w:rPr>
                <w:rFonts w:ascii="Times New Roman" w:hAnsi="Times New Roman" w:cs="Times New Roman"/>
                <w:color w:val="FF0000"/>
                <w:sz w:val="24"/>
                <w:szCs w:val="24"/>
              </w:rPr>
            </w:pPr>
          </w:p>
        </w:tc>
      </w:tr>
      <w:tr w:rsidR="009D39A0" w:rsidRPr="00F41305" w14:paraId="7BECA439" w14:textId="77777777" w:rsidTr="00D52EC8">
        <w:tc>
          <w:tcPr>
            <w:tcW w:w="981" w:type="pct"/>
            <w:vAlign w:val="center"/>
          </w:tcPr>
          <w:p w14:paraId="1C7E3F79" w14:textId="77777777" w:rsidR="009D39A0" w:rsidRPr="006778D5" w:rsidRDefault="009D39A0" w:rsidP="00D52EC8">
            <w:pPr>
              <w:pStyle w:val="Gvdemetni0"/>
              <w:spacing w:after="0"/>
              <w:jc w:val="both"/>
              <w:rPr>
                <w:rFonts w:ascii="Times New Roman" w:hAnsi="Times New Roman" w:cs="Times New Roman"/>
                <w:sz w:val="24"/>
                <w:szCs w:val="24"/>
              </w:rPr>
            </w:pPr>
            <w:r w:rsidRPr="006778D5">
              <w:rPr>
                <w:rFonts w:ascii="Times New Roman" w:hAnsi="Times New Roman" w:cs="Times New Roman"/>
                <w:sz w:val="24"/>
                <w:szCs w:val="24"/>
              </w:rPr>
              <w:t>Güvenli veri silme</w:t>
            </w:r>
          </w:p>
        </w:tc>
        <w:tc>
          <w:tcPr>
            <w:tcW w:w="573" w:type="pct"/>
            <w:vAlign w:val="center"/>
          </w:tcPr>
          <w:p w14:paraId="3255D5A8" w14:textId="77777777" w:rsidR="009D39A0" w:rsidRPr="006778D5" w:rsidRDefault="009D39A0" w:rsidP="00D52EC8">
            <w:pPr>
              <w:pStyle w:val="Gvdemetni0"/>
              <w:spacing w:after="0"/>
              <w:jc w:val="both"/>
              <w:rPr>
                <w:rFonts w:ascii="Times New Roman" w:hAnsi="Times New Roman" w:cs="Times New Roman"/>
                <w:sz w:val="24"/>
                <w:szCs w:val="24"/>
              </w:rPr>
            </w:pPr>
            <w:r w:rsidRPr="006778D5">
              <w:rPr>
                <w:rFonts w:ascii="Times New Roman" w:hAnsi="Times New Roman" w:cs="Times New Roman"/>
                <w:sz w:val="24"/>
                <w:szCs w:val="24"/>
              </w:rPr>
              <w:t>NIST</w:t>
            </w:r>
          </w:p>
        </w:tc>
        <w:tc>
          <w:tcPr>
            <w:tcW w:w="1667" w:type="pct"/>
            <w:vAlign w:val="center"/>
          </w:tcPr>
          <w:p w14:paraId="21F25990" w14:textId="77777777" w:rsidR="009D39A0" w:rsidRPr="00F41305" w:rsidRDefault="009D39A0" w:rsidP="00D52EC8">
            <w:pPr>
              <w:pStyle w:val="Gvdemetni0"/>
              <w:spacing w:after="0"/>
              <w:jc w:val="both"/>
              <w:rPr>
                <w:rFonts w:ascii="Times New Roman" w:hAnsi="Times New Roman" w:cs="Times New Roman"/>
                <w:color w:val="FF0000"/>
                <w:sz w:val="24"/>
                <w:szCs w:val="24"/>
              </w:rPr>
            </w:pPr>
            <w:proofErr w:type="spellStart"/>
            <w:r w:rsidRPr="006778D5">
              <w:rPr>
                <w:rFonts w:ascii="Times New Roman" w:hAnsi="Times New Roman" w:cs="Times New Roman"/>
                <w:sz w:val="24"/>
                <w:szCs w:val="24"/>
              </w:rPr>
              <w:t>Guidelines</w:t>
            </w:r>
            <w:proofErr w:type="spellEnd"/>
            <w:r w:rsidRPr="006778D5">
              <w:rPr>
                <w:rFonts w:ascii="Times New Roman" w:hAnsi="Times New Roman" w:cs="Times New Roman"/>
                <w:sz w:val="24"/>
                <w:szCs w:val="24"/>
              </w:rPr>
              <w:t xml:space="preserve"> </w:t>
            </w:r>
            <w:proofErr w:type="spellStart"/>
            <w:r w:rsidRPr="006778D5">
              <w:rPr>
                <w:rFonts w:ascii="Times New Roman" w:hAnsi="Times New Roman" w:cs="Times New Roman"/>
                <w:sz w:val="24"/>
                <w:szCs w:val="24"/>
              </w:rPr>
              <w:t>for</w:t>
            </w:r>
            <w:proofErr w:type="spellEnd"/>
            <w:r w:rsidRPr="006778D5">
              <w:rPr>
                <w:rFonts w:ascii="Times New Roman" w:hAnsi="Times New Roman" w:cs="Times New Roman"/>
                <w:sz w:val="24"/>
                <w:szCs w:val="24"/>
              </w:rPr>
              <w:t xml:space="preserve"> Media </w:t>
            </w:r>
            <w:proofErr w:type="spellStart"/>
            <w:r w:rsidRPr="006778D5">
              <w:rPr>
                <w:rFonts w:ascii="Times New Roman" w:hAnsi="Times New Roman" w:cs="Times New Roman"/>
                <w:sz w:val="24"/>
                <w:szCs w:val="24"/>
              </w:rPr>
              <w:t>Sanitization</w:t>
            </w:r>
            <w:proofErr w:type="spellEnd"/>
            <w:r w:rsidRPr="006778D5">
              <w:rPr>
                <w:rFonts w:ascii="Times New Roman" w:hAnsi="Times New Roman" w:cs="Times New Roman"/>
                <w:sz w:val="24"/>
                <w:szCs w:val="24"/>
              </w:rPr>
              <w:t>, NIST Özel Yayını 800-</w:t>
            </w:r>
            <w:proofErr w:type="gramStart"/>
            <w:r w:rsidRPr="006778D5">
              <w:rPr>
                <w:rFonts w:ascii="Times New Roman" w:hAnsi="Times New Roman" w:cs="Times New Roman"/>
                <w:sz w:val="24"/>
                <w:szCs w:val="24"/>
              </w:rPr>
              <w:t>88 -</w:t>
            </w:r>
            <w:proofErr w:type="gramEnd"/>
            <w:r w:rsidRPr="006778D5">
              <w:rPr>
                <w:rFonts w:ascii="Times New Roman" w:hAnsi="Times New Roman" w:cs="Times New Roman"/>
                <w:sz w:val="24"/>
                <w:szCs w:val="24"/>
              </w:rPr>
              <w:t xml:space="preserve"> Revizyon 1</w:t>
            </w:r>
          </w:p>
        </w:tc>
        <w:tc>
          <w:tcPr>
            <w:tcW w:w="1779" w:type="pct"/>
            <w:gridSpan w:val="2"/>
            <w:vAlign w:val="center"/>
          </w:tcPr>
          <w:p w14:paraId="6962A062" w14:textId="77777777" w:rsidR="009D39A0" w:rsidRPr="00F41305" w:rsidRDefault="009D39A0" w:rsidP="00D52EC8">
            <w:pPr>
              <w:pStyle w:val="Gvdemetni0"/>
              <w:spacing w:after="0"/>
              <w:jc w:val="both"/>
              <w:rPr>
                <w:rFonts w:ascii="Times New Roman" w:hAnsi="Times New Roman" w:cs="Times New Roman"/>
                <w:color w:val="FF0000"/>
                <w:sz w:val="24"/>
                <w:szCs w:val="24"/>
              </w:rPr>
            </w:pPr>
            <w:r w:rsidRPr="00F41305">
              <w:rPr>
                <w:rFonts w:ascii="Times New Roman" w:hAnsi="Times New Roman" w:cs="Times New Roman"/>
                <w:color w:val="FF0000"/>
                <w:sz w:val="24"/>
                <w:szCs w:val="24"/>
              </w:rPr>
              <w:t xml:space="preserve"> </w:t>
            </w:r>
          </w:p>
          <w:p w14:paraId="07AFBCDA" w14:textId="77777777" w:rsidR="009D39A0" w:rsidRPr="00F41305" w:rsidRDefault="009D39A0" w:rsidP="00D52EC8">
            <w:pPr>
              <w:pStyle w:val="Gvdemetni0"/>
              <w:spacing w:after="0"/>
              <w:jc w:val="both"/>
              <w:rPr>
                <w:rFonts w:ascii="Times New Roman" w:hAnsi="Times New Roman" w:cs="Times New Roman"/>
                <w:color w:val="FF0000"/>
                <w:sz w:val="24"/>
                <w:szCs w:val="24"/>
              </w:rPr>
            </w:pPr>
          </w:p>
        </w:tc>
      </w:tr>
      <w:tr w:rsidR="009D39A0" w:rsidRPr="00F41305" w14:paraId="3F59E34A" w14:textId="77777777" w:rsidTr="00D52EC8">
        <w:tc>
          <w:tcPr>
            <w:tcW w:w="981" w:type="pct"/>
            <w:vAlign w:val="center"/>
          </w:tcPr>
          <w:p w14:paraId="40652547" w14:textId="77777777" w:rsidR="009D39A0" w:rsidRPr="00F41305" w:rsidRDefault="009D39A0" w:rsidP="00D52EC8">
            <w:pPr>
              <w:pStyle w:val="Gvdemetni0"/>
              <w:spacing w:after="0"/>
              <w:jc w:val="both"/>
              <w:rPr>
                <w:rFonts w:ascii="Times New Roman" w:hAnsi="Times New Roman" w:cs="Times New Roman"/>
                <w:color w:val="FF0000"/>
                <w:sz w:val="24"/>
                <w:szCs w:val="24"/>
              </w:rPr>
            </w:pPr>
            <w:r w:rsidRPr="00BB39EC">
              <w:rPr>
                <w:rFonts w:ascii="Times New Roman" w:hAnsi="Times New Roman" w:cs="Times New Roman"/>
                <w:sz w:val="24"/>
                <w:szCs w:val="24"/>
              </w:rPr>
              <w:t>Sunucunun sökülebilme özelliği</w:t>
            </w:r>
          </w:p>
        </w:tc>
        <w:tc>
          <w:tcPr>
            <w:tcW w:w="573" w:type="pct"/>
          </w:tcPr>
          <w:p w14:paraId="0353F754" w14:textId="77777777" w:rsidR="009D39A0" w:rsidRPr="00F41305" w:rsidRDefault="009D39A0" w:rsidP="00D52EC8">
            <w:pPr>
              <w:pStyle w:val="Gvdemetni0"/>
              <w:spacing w:after="0"/>
              <w:jc w:val="center"/>
              <w:rPr>
                <w:rFonts w:ascii="Times New Roman" w:hAnsi="Times New Roman" w:cs="Times New Roman"/>
                <w:color w:val="FF0000"/>
                <w:sz w:val="24"/>
                <w:szCs w:val="24"/>
              </w:rPr>
            </w:pPr>
          </w:p>
        </w:tc>
        <w:tc>
          <w:tcPr>
            <w:tcW w:w="1667" w:type="pct"/>
            <w:vAlign w:val="center"/>
          </w:tcPr>
          <w:p w14:paraId="4743FF85" w14:textId="77777777" w:rsidR="009D39A0" w:rsidRPr="00BB39EC" w:rsidRDefault="009D39A0" w:rsidP="002D0FC7">
            <w:pPr>
              <w:pStyle w:val="Gvdemetni0"/>
              <w:spacing w:after="0"/>
              <w:rPr>
                <w:rFonts w:ascii="Times New Roman" w:hAnsi="Times New Roman" w:cs="Times New Roman"/>
                <w:sz w:val="24"/>
                <w:szCs w:val="24"/>
              </w:rPr>
            </w:pPr>
            <w:r w:rsidRPr="00BB39EC">
              <w:rPr>
                <w:rFonts w:ascii="Times New Roman" w:hAnsi="Times New Roman" w:cs="Times New Roman"/>
                <w:sz w:val="24"/>
                <w:szCs w:val="24"/>
              </w:rPr>
              <w:t>Mevcut değil</w:t>
            </w:r>
          </w:p>
        </w:tc>
        <w:tc>
          <w:tcPr>
            <w:tcW w:w="1779" w:type="pct"/>
            <w:gridSpan w:val="2"/>
          </w:tcPr>
          <w:p w14:paraId="16AE7F64" w14:textId="77777777" w:rsidR="009D39A0" w:rsidRPr="00F41305" w:rsidRDefault="009D39A0" w:rsidP="00D52EC8">
            <w:pPr>
              <w:pStyle w:val="Gvdemetni0"/>
              <w:spacing w:after="0"/>
              <w:jc w:val="both"/>
              <w:rPr>
                <w:rFonts w:ascii="Times New Roman" w:hAnsi="Times New Roman" w:cs="Times New Roman"/>
                <w:color w:val="FF0000"/>
                <w:sz w:val="24"/>
                <w:szCs w:val="24"/>
              </w:rPr>
            </w:pPr>
          </w:p>
        </w:tc>
      </w:tr>
      <w:tr w:rsidR="009D39A0" w:rsidRPr="00F41305" w14:paraId="36822EF8" w14:textId="77777777" w:rsidTr="00D52EC8">
        <w:tc>
          <w:tcPr>
            <w:tcW w:w="981" w:type="pct"/>
          </w:tcPr>
          <w:p w14:paraId="76715E0E" w14:textId="77777777" w:rsidR="009D39A0" w:rsidRPr="007406CC" w:rsidRDefault="009D39A0" w:rsidP="00D52EC8">
            <w:pPr>
              <w:pStyle w:val="Gvdemetni0"/>
              <w:spacing w:after="0"/>
              <w:jc w:val="both"/>
              <w:rPr>
                <w:rFonts w:ascii="Times New Roman" w:hAnsi="Times New Roman" w:cs="Times New Roman"/>
                <w:sz w:val="24"/>
                <w:szCs w:val="24"/>
              </w:rPr>
            </w:pPr>
            <w:r w:rsidRPr="007406CC">
              <w:rPr>
                <w:rFonts w:ascii="Times New Roman" w:hAnsi="Times New Roman" w:cs="Times New Roman"/>
                <w:sz w:val="24"/>
                <w:szCs w:val="24"/>
              </w:rPr>
              <w:t>Kritik ham madde (CRM) içeriği</w:t>
            </w:r>
          </w:p>
        </w:tc>
        <w:tc>
          <w:tcPr>
            <w:tcW w:w="573" w:type="pct"/>
          </w:tcPr>
          <w:p w14:paraId="7632268F" w14:textId="77777777" w:rsidR="009D39A0" w:rsidRPr="00F41305" w:rsidRDefault="009D39A0" w:rsidP="00D52EC8">
            <w:pPr>
              <w:pStyle w:val="Gvdemetni0"/>
              <w:spacing w:after="0"/>
              <w:jc w:val="center"/>
              <w:rPr>
                <w:rFonts w:ascii="Times New Roman" w:hAnsi="Times New Roman" w:cs="Times New Roman"/>
                <w:color w:val="FF0000"/>
                <w:sz w:val="24"/>
                <w:szCs w:val="24"/>
              </w:rPr>
            </w:pPr>
          </w:p>
        </w:tc>
        <w:tc>
          <w:tcPr>
            <w:tcW w:w="1667" w:type="pct"/>
          </w:tcPr>
          <w:p w14:paraId="7CFE364E" w14:textId="77777777" w:rsidR="009D39A0" w:rsidRPr="005B58A1" w:rsidRDefault="009D39A0" w:rsidP="002D0FC7">
            <w:pPr>
              <w:pStyle w:val="Gvdemetni0"/>
              <w:spacing w:after="0"/>
              <w:rPr>
                <w:rFonts w:ascii="Times New Roman" w:hAnsi="Times New Roman" w:cs="Times New Roman"/>
                <w:sz w:val="24"/>
                <w:szCs w:val="24"/>
              </w:rPr>
            </w:pPr>
            <w:r w:rsidRPr="005B58A1">
              <w:rPr>
                <w:rFonts w:ascii="Times New Roman" w:hAnsi="Times New Roman" w:cs="Times New Roman"/>
                <w:sz w:val="24"/>
                <w:szCs w:val="24"/>
              </w:rPr>
              <w:t>EN 45558:2019</w:t>
            </w:r>
          </w:p>
        </w:tc>
        <w:tc>
          <w:tcPr>
            <w:tcW w:w="1779" w:type="pct"/>
            <w:gridSpan w:val="2"/>
          </w:tcPr>
          <w:p w14:paraId="3F764001" w14:textId="77777777" w:rsidR="009D39A0" w:rsidRPr="00F41305" w:rsidRDefault="009D39A0" w:rsidP="00D52EC8">
            <w:pPr>
              <w:pStyle w:val="Gvdemetni0"/>
              <w:spacing w:after="0"/>
              <w:jc w:val="center"/>
              <w:rPr>
                <w:rFonts w:ascii="Times New Roman" w:hAnsi="Times New Roman" w:cs="Times New Roman"/>
                <w:color w:val="FF0000"/>
                <w:sz w:val="24"/>
                <w:szCs w:val="24"/>
              </w:rPr>
            </w:pPr>
          </w:p>
        </w:tc>
      </w:tr>
    </w:tbl>
    <w:p w14:paraId="3B50BA4F" w14:textId="77777777" w:rsidR="009D39A0" w:rsidRDefault="009D39A0" w:rsidP="009D39A0">
      <w:pPr>
        <w:pStyle w:val="Gvdemetni0"/>
        <w:spacing w:after="0"/>
        <w:jc w:val="both"/>
        <w:rPr>
          <w:rFonts w:ascii="Times New Roman" w:hAnsi="Times New Roman" w:cs="Times New Roman"/>
          <w:color w:val="000000"/>
          <w:sz w:val="24"/>
          <w:szCs w:val="24"/>
        </w:rPr>
      </w:pPr>
      <w:r w:rsidRPr="002D0FC7">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t>
      </w:r>
      <w:r w:rsidRPr="00FC5BD2">
        <w:rPr>
          <w:rFonts w:ascii="Times New Roman" w:hAnsi="Times New Roman" w:cs="Times New Roman"/>
          <w:color w:val="000000"/>
          <w:sz w:val="24"/>
          <w:szCs w:val="24"/>
        </w:rPr>
        <w:t xml:space="preserve">Bu, piyasadaki APA kartlarının çok çeşitli olması ve SERT aracının </w:t>
      </w:r>
      <w:proofErr w:type="spellStart"/>
      <w:r w:rsidRPr="00FC5BD2">
        <w:rPr>
          <w:rFonts w:ascii="Times New Roman" w:hAnsi="Times New Roman" w:cs="Times New Roman"/>
          <w:color w:val="000000"/>
          <w:sz w:val="24"/>
          <w:szCs w:val="24"/>
        </w:rPr>
        <w:t>APA'ları</w:t>
      </w:r>
      <w:proofErr w:type="spellEnd"/>
      <w:r w:rsidRPr="00FC5BD2">
        <w:rPr>
          <w:rFonts w:ascii="Times New Roman" w:hAnsi="Times New Roman" w:cs="Times New Roman"/>
          <w:color w:val="000000"/>
          <w:sz w:val="24"/>
          <w:szCs w:val="24"/>
        </w:rPr>
        <w:t xml:space="preserve"> kullanan herhangi bir </w:t>
      </w:r>
      <w:r>
        <w:rPr>
          <w:rFonts w:ascii="Times New Roman" w:hAnsi="Times New Roman" w:cs="Times New Roman"/>
          <w:color w:val="000000"/>
          <w:sz w:val="24"/>
          <w:szCs w:val="24"/>
        </w:rPr>
        <w:t>iş akış seti</w:t>
      </w:r>
      <w:r w:rsidRPr="00FC5BD2">
        <w:rPr>
          <w:rFonts w:ascii="Times New Roman" w:hAnsi="Times New Roman" w:cs="Times New Roman"/>
          <w:color w:val="000000"/>
          <w:sz w:val="24"/>
          <w:szCs w:val="24"/>
        </w:rPr>
        <w:t xml:space="preserve"> içermemesi nedeniyle gereklidir. Bu nedenle, genişletme APA kartlarına veya diğer eklenti kartlarına sahip sunucular için SERT verimliliği sonuçları, sunucunun performans/güç kapasitesini temsil etme</w:t>
      </w:r>
      <w:r>
        <w:rPr>
          <w:rFonts w:ascii="Times New Roman" w:hAnsi="Times New Roman" w:cs="Times New Roman"/>
          <w:color w:val="000000"/>
          <w:sz w:val="24"/>
          <w:szCs w:val="24"/>
        </w:rPr>
        <w:t>z</w:t>
      </w:r>
      <w:r w:rsidRPr="00FC5BD2">
        <w:rPr>
          <w:rFonts w:ascii="Times New Roman" w:hAnsi="Times New Roman" w:cs="Times New Roman"/>
          <w:color w:val="000000"/>
          <w:sz w:val="24"/>
          <w:szCs w:val="24"/>
        </w:rPr>
        <w:t>.</w:t>
      </w:r>
    </w:p>
    <w:p w14:paraId="230836DA" w14:textId="04962405" w:rsidR="009D39A0" w:rsidRPr="00F324BF" w:rsidRDefault="009D39A0" w:rsidP="009D39A0">
      <w:pPr>
        <w:pStyle w:val="Gvdemetni0"/>
        <w:spacing w:after="0"/>
        <w:jc w:val="both"/>
        <w:rPr>
          <w:rFonts w:ascii="Times New Roman" w:hAnsi="Times New Roman" w:cs="Times New Roman"/>
          <w:color w:val="000000"/>
          <w:sz w:val="24"/>
          <w:szCs w:val="24"/>
        </w:rPr>
      </w:pPr>
      <w:r w:rsidRPr="002D0FC7">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r w:rsidRPr="001612FD">
        <w:rPr>
          <w:rFonts w:ascii="Times New Roman" w:hAnsi="Times New Roman" w:cs="Times New Roman"/>
          <w:color w:val="000000"/>
          <w:sz w:val="24"/>
          <w:szCs w:val="24"/>
        </w:rPr>
        <w:t xml:space="preserve">Bir sunucu ürün ailesinin parçası olarak beyan edilen sunucular söz konusu olduğunda, </w:t>
      </w:r>
      <w:r>
        <w:rPr>
          <w:rFonts w:ascii="Times New Roman" w:hAnsi="Times New Roman" w:cs="Times New Roman"/>
          <w:color w:val="000000"/>
          <w:sz w:val="24"/>
          <w:szCs w:val="24"/>
        </w:rPr>
        <w:t>bu Tebliğin</w:t>
      </w:r>
      <w:r w:rsidRPr="001612FD">
        <w:rPr>
          <w:rFonts w:ascii="Times New Roman" w:hAnsi="Times New Roman" w:cs="Times New Roman"/>
          <w:color w:val="000000"/>
          <w:sz w:val="24"/>
          <w:szCs w:val="24"/>
        </w:rPr>
        <w:t xml:space="preserve"> Ek </w:t>
      </w:r>
      <w:proofErr w:type="spellStart"/>
      <w:r w:rsidRPr="001612FD">
        <w:rPr>
          <w:rFonts w:ascii="Times New Roman" w:hAnsi="Times New Roman" w:cs="Times New Roman"/>
          <w:color w:val="000000"/>
          <w:sz w:val="24"/>
          <w:szCs w:val="24"/>
        </w:rPr>
        <w:t>IV'ün</w:t>
      </w:r>
      <w:r>
        <w:rPr>
          <w:rFonts w:ascii="Times New Roman" w:hAnsi="Times New Roman" w:cs="Times New Roman"/>
          <w:color w:val="000000"/>
          <w:sz w:val="24"/>
          <w:szCs w:val="24"/>
        </w:rPr>
        <w:t>ün</w:t>
      </w:r>
      <w:proofErr w:type="spellEnd"/>
      <w:r w:rsidRPr="001612FD">
        <w:rPr>
          <w:rFonts w:ascii="Times New Roman" w:hAnsi="Times New Roman" w:cs="Times New Roman"/>
          <w:color w:val="000000"/>
          <w:sz w:val="24"/>
          <w:szCs w:val="24"/>
        </w:rPr>
        <w:t xml:space="preserve"> 1</w:t>
      </w:r>
      <w:r w:rsidR="002D0FC7">
        <w:rPr>
          <w:rFonts w:ascii="Times New Roman" w:hAnsi="Times New Roman" w:cs="Times New Roman"/>
          <w:color w:val="000000"/>
          <w:sz w:val="24"/>
          <w:szCs w:val="24"/>
        </w:rPr>
        <w:t xml:space="preserve"> inci</w:t>
      </w:r>
      <w:r w:rsidRPr="001612FD">
        <w:rPr>
          <w:rFonts w:ascii="Times New Roman" w:hAnsi="Times New Roman" w:cs="Times New Roman"/>
          <w:color w:val="000000"/>
          <w:sz w:val="24"/>
          <w:szCs w:val="24"/>
        </w:rPr>
        <w:t xml:space="preserve"> maddesi, </w:t>
      </w:r>
      <w:r>
        <w:rPr>
          <w:rFonts w:ascii="Times New Roman" w:hAnsi="Times New Roman" w:cs="Times New Roman"/>
          <w:color w:val="000000"/>
          <w:sz w:val="24"/>
          <w:szCs w:val="24"/>
        </w:rPr>
        <w:t>Bakanlık</w:t>
      </w:r>
      <w:r w:rsidRPr="001612FD">
        <w:rPr>
          <w:rFonts w:ascii="Times New Roman" w:hAnsi="Times New Roman" w:cs="Times New Roman"/>
          <w:color w:val="000000"/>
          <w:sz w:val="24"/>
          <w:szCs w:val="24"/>
        </w:rPr>
        <w:t xml:space="preserve"> yetkililerinin düşük </w:t>
      </w:r>
      <w:r>
        <w:rPr>
          <w:rFonts w:ascii="Times New Roman" w:hAnsi="Times New Roman" w:cs="Times New Roman"/>
          <w:color w:val="000000"/>
          <w:sz w:val="24"/>
          <w:szCs w:val="24"/>
        </w:rPr>
        <w:t>seviye</w:t>
      </w:r>
      <w:r w:rsidRPr="001612FD">
        <w:rPr>
          <w:rFonts w:ascii="Times New Roman" w:hAnsi="Times New Roman" w:cs="Times New Roman"/>
          <w:color w:val="000000"/>
          <w:sz w:val="24"/>
          <w:szCs w:val="24"/>
        </w:rPr>
        <w:t xml:space="preserve"> performans yapılandırmasını veya </w:t>
      </w:r>
      <w:r>
        <w:rPr>
          <w:rFonts w:ascii="Times New Roman" w:hAnsi="Times New Roman" w:cs="Times New Roman"/>
          <w:color w:val="000000"/>
          <w:sz w:val="24"/>
          <w:szCs w:val="24"/>
        </w:rPr>
        <w:t>yüksek seviye</w:t>
      </w:r>
      <w:r w:rsidRPr="001612FD">
        <w:rPr>
          <w:rFonts w:ascii="Times New Roman" w:hAnsi="Times New Roman" w:cs="Times New Roman"/>
          <w:color w:val="000000"/>
          <w:sz w:val="24"/>
          <w:szCs w:val="24"/>
        </w:rPr>
        <w:t xml:space="preserve"> performans</w:t>
      </w:r>
      <w:r>
        <w:rPr>
          <w:rFonts w:ascii="Times New Roman" w:hAnsi="Times New Roman" w:cs="Times New Roman"/>
          <w:color w:val="000000"/>
          <w:sz w:val="24"/>
          <w:szCs w:val="24"/>
        </w:rPr>
        <w:t xml:space="preserve"> yapılandırmasını</w:t>
      </w:r>
      <w:r w:rsidRPr="001612FD">
        <w:rPr>
          <w:rFonts w:ascii="Times New Roman" w:hAnsi="Times New Roman" w:cs="Times New Roman"/>
          <w:color w:val="000000"/>
          <w:sz w:val="24"/>
          <w:szCs w:val="24"/>
        </w:rPr>
        <w:t xml:space="preserve"> test edebileceğini öngörmektedir</w:t>
      </w:r>
      <w:r>
        <w:rPr>
          <w:rFonts w:ascii="Times New Roman" w:hAnsi="Times New Roman" w:cs="Times New Roman"/>
          <w:color w:val="000000"/>
          <w:sz w:val="24"/>
          <w:szCs w:val="24"/>
        </w:rPr>
        <w:t xml:space="preserve"> ve</w:t>
      </w:r>
      <w:r w:rsidRPr="001612FD">
        <w:rPr>
          <w:rFonts w:ascii="Times New Roman" w:hAnsi="Times New Roman" w:cs="Times New Roman"/>
          <w:color w:val="000000"/>
          <w:sz w:val="24"/>
          <w:szCs w:val="24"/>
        </w:rPr>
        <w:t xml:space="preserve"> Ek </w:t>
      </w:r>
      <w:proofErr w:type="spellStart"/>
      <w:r w:rsidRPr="001612FD">
        <w:rPr>
          <w:rFonts w:ascii="Times New Roman" w:hAnsi="Times New Roman" w:cs="Times New Roman"/>
          <w:color w:val="000000"/>
          <w:sz w:val="24"/>
          <w:szCs w:val="24"/>
        </w:rPr>
        <w:t>I'</w:t>
      </w:r>
      <w:r>
        <w:rPr>
          <w:rFonts w:ascii="Times New Roman" w:hAnsi="Times New Roman" w:cs="Times New Roman"/>
          <w:color w:val="000000"/>
          <w:sz w:val="24"/>
          <w:szCs w:val="24"/>
        </w:rPr>
        <w:t>deki</w:t>
      </w:r>
      <w:proofErr w:type="spellEnd"/>
      <w:r w:rsidRPr="001612FD">
        <w:rPr>
          <w:rFonts w:ascii="Times New Roman" w:hAnsi="Times New Roman" w:cs="Times New Roman"/>
          <w:color w:val="000000"/>
          <w:sz w:val="24"/>
          <w:szCs w:val="24"/>
        </w:rPr>
        <w:t xml:space="preserve"> düşük </w:t>
      </w:r>
      <w:r>
        <w:rPr>
          <w:rFonts w:ascii="Times New Roman" w:hAnsi="Times New Roman" w:cs="Times New Roman"/>
          <w:color w:val="000000"/>
          <w:sz w:val="24"/>
          <w:szCs w:val="24"/>
        </w:rPr>
        <w:t>seviye</w:t>
      </w:r>
      <w:r w:rsidRPr="001612FD">
        <w:rPr>
          <w:rFonts w:ascii="Times New Roman" w:hAnsi="Times New Roman" w:cs="Times New Roman"/>
          <w:color w:val="000000"/>
          <w:sz w:val="24"/>
          <w:szCs w:val="24"/>
        </w:rPr>
        <w:t xml:space="preserve"> performans yapılandırması ve </w:t>
      </w:r>
      <w:r>
        <w:rPr>
          <w:rFonts w:ascii="Times New Roman" w:hAnsi="Times New Roman" w:cs="Times New Roman"/>
          <w:color w:val="000000"/>
          <w:sz w:val="24"/>
          <w:szCs w:val="24"/>
        </w:rPr>
        <w:t>yüksek seviye</w:t>
      </w:r>
      <w:r w:rsidRPr="001612FD">
        <w:rPr>
          <w:rFonts w:ascii="Times New Roman" w:hAnsi="Times New Roman" w:cs="Times New Roman"/>
          <w:color w:val="000000"/>
          <w:sz w:val="24"/>
          <w:szCs w:val="24"/>
        </w:rPr>
        <w:t xml:space="preserve"> performans</w:t>
      </w:r>
      <w:r>
        <w:rPr>
          <w:rFonts w:ascii="Times New Roman" w:hAnsi="Times New Roman" w:cs="Times New Roman"/>
          <w:color w:val="000000"/>
          <w:sz w:val="24"/>
          <w:szCs w:val="24"/>
        </w:rPr>
        <w:t xml:space="preserve"> yapılandırması</w:t>
      </w:r>
      <w:r w:rsidRPr="001612FD">
        <w:rPr>
          <w:rFonts w:ascii="Times New Roman" w:hAnsi="Times New Roman" w:cs="Times New Roman"/>
          <w:color w:val="000000"/>
          <w:sz w:val="24"/>
          <w:szCs w:val="24"/>
        </w:rPr>
        <w:t xml:space="preserve"> tanımlarına göre, bu </w:t>
      </w:r>
      <w:r>
        <w:rPr>
          <w:rFonts w:ascii="Times New Roman" w:hAnsi="Times New Roman" w:cs="Times New Roman"/>
          <w:color w:val="000000"/>
          <w:sz w:val="24"/>
          <w:szCs w:val="24"/>
        </w:rPr>
        <w:t>yapılandırmalar</w:t>
      </w:r>
      <w:r w:rsidRPr="001612FD">
        <w:rPr>
          <w:rFonts w:ascii="Times New Roman" w:hAnsi="Times New Roman" w:cs="Times New Roman"/>
          <w:color w:val="000000"/>
          <w:sz w:val="24"/>
          <w:szCs w:val="24"/>
        </w:rPr>
        <w:t xml:space="preserve"> aynı DIMM ham kart tasarımı ve kapasitesi ile </w:t>
      </w:r>
      <w:r>
        <w:rPr>
          <w:rFonts w:ascii="Times New Roman" w:hAnsi="Times New Roman" w:cs="Times New Roman"/>
          <w:color w:val="000000"/>
          <w:sz w:val="24"/>
          <w:szCs w:val="24"/>
        </w:rPr>
        <w:t>yerleştirilmiş</w:t>
      </w:r>
      <w:r w:rsidRPr="001612FD">
        <w:rPr>
          <w:rFonts w:ascii="Times New Roman" w:hAnsi="Times New Roman" w:cs="Times New Roman"/>
          <w:color w:val="000000"/>
          <w:sz w:val="24"/>
          <w:szCs w:val="24"/>
        </w:rPr>
        <w:t xml:space="preserve"> tüm bellek kanallarına sahip olacaktır.</w:t>
      </w:r>
    </w:p>
    <w:p w14:paraId="0D2D0DFC" w14:textId="77777777" w:rsidR="009D39A0" w:rsidRPr="002D0FC7" w:rsidRDefault="009D39A0" w:rsidP="009D39A0">
      <w:pPr>
        <w:pStyle w:val="ResimYazs"/>
        <w:keepNext/>
        <w:spacing w:after="0"/>
        <w:jc w:val="center"/>
        <w:rPr>
          <w:b/>
          <w:i w:val="0"/>
          <w:color w:val="auto"/>
          <w:sz w:val="24"/>
          <w:szCs w:val="24"/>
        </w:rPr>
      </w:pPr>
      <w:r w:rsidRPr="002D0FC7">
        <w:rPr>
          <w:b/>
          <w:i w:val="0"/>
          <w:color w:val="auto"/>
          <w:sz w:val="24"/>
          <w:szCs w:val="24"/>
        </w:rPr>
        <w:t xml:space="preserve">Tablo </w:t>
      </w:r>
      <w:proofErr w:type="gramStart"/>
      <w:r w:rsidRPr="002D0FC7">
        <w:rPr>
          <w:b/>
          <w:i w:val="0"/>
          <w:color w:val="auto"/>
          <w:sz w:val="24"/>
          <w:szCs w:val="24"/>
        </w:rPr>
        <w:t>2a</w:t>
      </w:r>
      <w:proofErr w:type="gramEnd"/>
    </w:p>
    <w:p w14:paraId="147E2649" w14:textId="77777777" w:rsidR="009D39A0" w:rsidRPr="004F1DBC" w:rsidRDefault="009D39A0" w:rsidP="009D39A0">
      <w:pPr>
        <w:pStyle w:val="ResimYazs"/>
        <w:keepNext/>
        <w:spacing w:after="0"/>
        <w:jc w:val="center"/>
        <w:rPr>
          <w:b/>
          <w:i w:val="0"/>
          <w:color w:val="auto"/>
          <w:sz w:val="24"/>
          <w:szCs w:val="24"/>
        </w:rPr>
      </w:pPr>
      <w:r w:rsidRPr="004F1DBC">
        <w:rPr>
          <w:b/>
          <w:i w:val="0"/>
          <w:color w:val="auto"/>
          <w:sz w:val="24"/>
          <w:szCs w:val="24"/>
        </w:rPr>
        <w:t xml:space="preserve">Veri depolama ürünleri için </w:t>
      </w:r>
      <w:r w:rsidRPr="004F1DBC">
        <w:rPr>
          <w:b/>
          <w:i w:val="0"/>
          <w:noProof/>
          <w:color w:val="auto"/>
          <w:sz w:val="24"/>
          <w:szCs w:val="24"/>
        </w:rPr>
        <w:t>referanslar ve niteleyici notlar</w:t>
      </w:r>
    </w:p>
    <w:tbl>
      <w:tblPr>
        <w:tblStyle w:val="TabloKlavuzu"/>
        <w:tblW w:w="5000" w:type="pct"/>
        <w:tblLook w:val="04A0" w:firstRow="1" w:lastRow="0" w:firstColumn="1" w:lastColumn="0" w:noHBand="0" w:noVBand="1"/>
      </w:tblPr>
      <w:tblGrid>
        <w:gridCol w:w="1776"/>
        <w:gridCol w:w="1060"/>
        <w:gridCol w:w="4033"/>
        <w:gridCol w:w="2193"/>
      </w:tblGrid>
      <w:tr w:rsidR="009D39A0" w:rsidRPr="00353260" w14:paraId="6798D8B9" w14:textId="77777777" w:rsidTr="00D52EC8">
        <w:trPr>
          <w:trHeight w:val="558"/>
          <w:tblHeader/>
        </w:trPr>
        <w:tc>
          <w:tcPr>
            <w:tcW w:w="980" w:type="pct"/>
            <w:vAlign w:val="center"/>
          </w:tcPr>
          <w:p w14:paraId="468F78AA" w14:textId="77777777" w:rsidR="009D39A0" w:rsidRPr="00353260" w:rsidRDefault="009D39A0" w:rsidP="00D52EC8">
            <w:pPr>
              <w:pStyle w:val="Gvdemetni0"/>
              <w:spacing w:after="0"/>
              <w:jc w:val="center"/>
              <w:rPr>
                <w:rFonts w:ascii="Times New Roman" w:hAnsi="Times New Roman" w:cs="Times New Roman"/>
                <w:sz w:val="24"/>
                <w:szCs w:val="24"/>
              </w:rPr>
            </w:pPr>
            <w:r w:rsidRPr="00353260">
              <w:rPr>
                <w:rFonts w:ascii="Times New Roman" w:hAnsi="Times New Roman" w:cs="Times New Roman"/>
                <w:b/>
                <w:bCs/>
                <w:sz w:val="24"/>
                <w:szCs w:val="24"/>
              </w:rPr>
              <w:t>Parametre</w:t>
            </w:r>
          </w:p>
        </w:tc>
        <w:tc>
          <w:tcPr>
            <w:tcW w:w="585" w:type="pct"/>
            <w:vAlign w:val="center"/>
          </w:tcPr>
          <w:p w14:paraId="0914E9CD" w14:textId="77777777" w:rsidR="009D39A0" w:rsidRPr="00353260" w:rsidRDefault="009D39A0" w:rsidP="00D52EC8">
            <w:pPr>
              <w:pStyle w:val="Gvdemetni0"/>
              <w:spacing w:after="0"/>
              <w:jc w:val="center"/>
              <w:rPr>
                <w:rFonts w:ascii="Times New Roman" w:hAnsi="Times New Roman" w:cs="Times New Roman"/>
                <w:sz w:val="24"/>
                <w:szCs w:val="24"/>
              </w:rPr>
            </w:pPr>
            <w:r w:rsidRPr="00353260">
              <w:rPr>
                <w:rFonts w:ascii="Times New Roman" w:hAnsi="Times New Roman" w:cs="Times New Roman"/>
                <w:b/>
                <w:bCs/>
                <w:sz w:val="24"/>
                <w:szCs w:val="24"/>
              </w:rPr>
              <w:t>Kaynak</w:t>
            </w:r>
          </w:p>
        </w:tc>
        <w:tc>
          <w:tcPr>
            <w:tcW w:w="2225" w:type="pct"/>
            <w:vAlign w:val="center"/>
          </w:tcPr>
          <w:p w14:paraId="025A215D" w14:textId="77777777" w:rsidR="009D39A0" w:rsidRPr="00353260" w:rsidRDefault="009D39A0" w:rsidP="00D52EC8">
            <w:pPr>
              <w:pStyle w:val="Gvdemetni0"/>
              <w:spacing w:after="0"/>
              <w:jc w:val="center"/>
              <w:rPr>
                <w:rFonts w:ascii="Times New Roman" w:hAnsi="Times New Roman" w:cs="Times New Roman"/>
                <w:sz w:val="24"/>
                <w:szCs w:val="24"/>
              </w:rPr>
            </w:pPr>
            <w:r w:rsidRPr="00353260">
              <w:rPr>
                <w:rFonts w:ascii="Times New Roman" w:hAnsi="Times New Roman" w:cs="Times New Roman"/>
                <w:b/>
                <w:bCs/>
                <w:sz w:val="24"/>
                <w:szCs w:val="24"/>
              </w:rPr>
              <w:t>Referans Test Metodu / Başlık</w:t>
            </w:r>
          </w:p>
        </w:tc>
        <w:tc>
          <w:tcPr>
            <w:tcW w:w="1210" w:type="pct"/>
            <w:vAlign w:val="center"/>
          </w:tcPr>
          <w:p w14:paraId="56BE8FA0" w14:textId="77777777" w:rsidR="009D39A0" w:rsidRPr="00353260" w:rsidRDefault="009D39A0" w:rsidP="00D52EC8">
            <w:pPr>
              <w:pStyle w:val="Gvdemetni0"/>
              <w:spacing w:after="0"/>
              <w:jc w:val="center"/>
              <w:rPr>
                <w:rFonts w:ascii="Times New Roman" w:hAnsi="Times New Roman" w:cs="Times New Roman"/>
                <w:sz w:val="24"/>
                <w:szCs w:val="24"/>
              </w:rPr>
            </w:pPr>
            <w:r w:rsidRPr="00353260">
              <w:rPr>
                <w:rFonts w:ascii="Times New Roman" w:hAnsi="Times New Roman" w:cs="Times New Roman"/>
                <w:b/>
                <w:bCs/>
                <w:sz w:val="24"/>
                <w:szCs w:val="24"/>
              </w:rPr>
              <w:t>Notlar</w:t>
            </w:r>
          </w:p>
        </w:tc>
      </w:tr>
      <w:tr w:rsidR="009D39A0" w:rsidRPr="00A31ABF" w14:paraId="65DE9773" w14:textId="77777777" w:rsidTr="00D52EC8">
        <w:tc>
          <w:tcPr>
            <w:tcW w:w="980" w:type="pct"/>
            <w:vAlign w:val="center"/>
          </w:tcPr>
          <w:p w14:paraId="6DBF1BC1" w14:textId="77777777" w:rsidR="009D39A0" w:rsidRPr="008355D0" w:rsidRDefault="009D39A0" w:rsidP="00D52EC8">
            <w:pPr>
              <w:pStyle w:val="Gvdemetni0"/>
              <w:spacing w:after="0"/>
              <w:jc w:val="both"/>
              <w:rPr>
                <w:rFonts w:ascii="Times New Roman" w:hAnsi="Times New Roman" w:cs="Times New Roman"/>
                <w:sz w:val="24"/>
                <w:szCs w:val="24"/>
              </w:rPr>
            </w:pPr>
            <w:r w:rsidRPr="008355D0">
              <w:rPr>
                <w:rFonts w:ascii="Times New Roman" w:hAnsi="Times New Roman" w:cs="Times New Roman"/>
                <w:sz w:val="24"/>
                <w:szCs w:val="24"/>
              </w:rPr>
              <w:t>Güç Kaynağı Verimliliği</w:t>
            </w:r>
          </w:p>
        </w:tc>
        <w:tc>
          <w:tcPr>
            <w:tcW w:w="585" w:type="pct"/>
            <w:vAlign w:val="center"/>
          </w:tcPr>
          <w:p w14:paraId="5798A031" w14:textId="77777777" w:rsidR="009D39A0" w:rsidRPr="008355D0" w:rsidRDefault="009D39A0" w:rsidP="00D52EC8">
            <w:pPr>
              <w:pStyle w:val="Gvdemetni0"/>
              <w:spacing w:after="0"/>
              <w:jc w:val="both"/>
              <w:rPr>
                <w:rFonts w:ascii="Times New Roman" w:hAnsi="Times New Roman" w:cs="Times New Roman"/>
                <w:sz w:val="24"/>
                <w:szCs w:val="24"/>
              </w:rPr>
            </w:pPr>
            <w:r w:rsidRPr="008355D0">
              <w:rPr>
                <w:rFonts w:ascii="Times New Roman" w:hAnsi="Times New Roman" w:cs="Times New Roman"/>
                <w:sz w:val="24"/>
                <w:szCs w:val="24"/>
              </w:rPr>
              <w:t xml:space="preserve">EPRI ve </w:t>
            </w:r>
            <w:proofErr w:type="spellStart"/>
            <w:r w:rsidRPr="008355D0">
              <w:rPr>
                <w:rFonts w:ascii="Times New Roman" w:hAnsi="Times New Roman" w:cs="Times New Roman"/>
                <w:sz w:val="24"/>
                <w:szCs w:val="24"/>
              </w:rPr>
              <w:t>Ecova</w:t>
            </w:r>
            <w:proofErr w:type="spellEnd"/>
          </w:p>
        </w:tc>
        <w:tc>
          <w:tcPr>
            <w:tcW w:w="2225" w:type="pct"/>
            <w:vAlign w:val="center"/>
          </w:tcPr>
          <w:p w14:paraId="154652FE" w14:textId="77777777" w:rsidR="009D39A0" w:rsidRPr="009D3223" w:rsidRDefault="009D39A0" w:rsidP="00D52EC8">
            <w:pPr>
              <w:pStyle w:val="Gvdemetni0"/>
              <w:spacing w:after="0"/>
              <w:jc w:val="both"/>
              <w:rPr>
                <w:rFonts w:ascii="Times New Roman" w:hAnsi="Times New Roman" w:cs="Times New Roman"/>
                <w:sz w:val="24"/>
                <w:szCs w:val="24"/>
              </w:rPr>
            </w:pPr>
            <w:r w:rsidRPr="009D3223">
              <w:rPr>
                <w:rFonts w:ascii="Times New Roman" w:hAnsi="Times New Roman" w:cs="Times New Roman"/>
                <w:sz w:val="24"/>
                <w:szCs w:val="24"/>
              </w:rPr>
              <w:t>Dâhili AC-DC ve DC-DC Güç Kaynaklarının Enerji Verimliliğini Hesaplamak İçin Genelleştirilmiş Test Protokolü Revizyon 6.7</w:t>
            </w:r>
          </w:p>
        </w:tc>
        <w:tc>
          <w:tcPr>
            <w:tcW w:w="1210" w:type="pct"/>
            <w:vMerge w:val="restart"/>
            <w:vAlign w:val="center"/>
          </w:tcPr>
          <w:p w14:paraId="45EA8FEC" w14:textId="54888AF7" w:rsidR="009D39A0" w:rsidRPr="00D11A50" w:rsidRDefault="009D39A0" w:rsidP="00D52EC8">
            <w:pPr>
              <w:pStyle w:val="Gvdemetni0"/>
              <w:spacing w:after="0"/>
              <w:jc w:val="both"/>
              <w:rPr>
                <w:rFonts w:ascii="Times New Roman" w:hAnsi="Times New Roman" w:cs="Times New Roman"/>
                <w:sz w:val="24"/>
                <w:szCs w:val="24"/>
              </w:rPr>
            </w:pPr>
            <w:r w:rsidRPr="00D11A50">
              <w:rPr>
                <w:rFonts w:ascii="Times New Roman" w:hAnsi="Times New Roman" w:cs="Times New Roman"/>
                <w:sz w:val="24"/>
                <w:szCs w:val="24"/>
              </w:rPr>
              <w:t>Test işlemi uygun bir AB voltajı ve frekansında (örn</w:t>
            </w:r>
            <w:r w:rsidR="002D0FC7">
              <w:rPr>
                <w:rFonts w:ascii="Times New Roman" w:hAnsi="Times New Roman" w:cs="Times New Roman"/>
                <w:sz w:val="24"/>
                <w:szCs w:val="24"/>
              </w:rPr>
              <w:t>eğin</w:t>
            </w:r>
            <w:r w:rsidRPr="00D11A50">
              <w:rPr>
                <w:rFonts w:ascii="Times New Roman" w:hAnsi="Times New Roman" w:cs="Times New Roman"/>
                <w:sz w:val="24"/>
                <w:szCs w:val="24"/>
              </w:rPr>
              <w:t xml:space="preserve"> 230v, 50Hz) yapılmalıdır.</w:t>
            </w:r>
          </w:p>
          <w:p w14:paraId="52A02CAC" w14:textId="77777777" w:rsidR="009D39A0" w:rsidRPr="00A31ABF" w:rsidRDefault="009D39A0" w:rsidP="00D52EC8">
            <w:pPr>
              <w:pStyle w:val="Gvdemetni0"/>
              <w:spacing w:after="0"/>
              <w:jc w:val="both"/>
              <w:rPr>
                <w:rFonts w:ascii="Times New Roman" w:hAnsi="Times New Roman" w:cs="Times New Roman"/>
                <w:color w:val="FF0000"/>
                <w:sz w:val="24"/>
                <w:szCs w:val="24"/>
              </w:rPr>
            </w:pPr>
          </w:p>
        </w:tc>
      </w:tr>
      <w:tr w:rsidR="009D39A0" w:rsidRPr="00A31ABF" w14:paraId="18B584CD" w14:textId="77777777" w:rsidTr="00D52EC8">
        <w:tc>
          <w:tcPr>
            <w:tcW w:w="980" w:type="pct"/>
            <w:vAlign w:val="center"/>
          </w:tcPr>
          <w:p w14:paraId="2765163B" w14:textId="77777777" w:rsidR="009D39A0" w:rsidRPr="008355D0" w:rsidRDefault="009D39A0" w:rsidP="00D52EC8">
            <w:pPr>
              <w:pStyle w:val="Gvdemetni0"/>
              <w:spacing w:after="0"/>
              <w:jc w:val="both"/>
              <w:rPr>
                <w:rFonts w:ascii="Times New Roman" w:hAnsi="Times New Roman" w:cs="Times New Roman"/>
                <w:sz w:val="24"/>
                <w:szCs w:val="24"/>
              </w:rPr>
            </w:pPr>
            <w:r w:rsidRPr="008355D0">
              <w:rPr>
                <w:rFonts w:ascii="Times New Roman" w:hAnsi="Times New Roman" w:cs="Times New Roman"/>
                <w:sz w:val="24"/>
                <w:szCs w:val="24"/>
              </w:rPr>
              <w:t>Güç Kaynağı Güç Faktörü</w:t>
            </w:r>
          </w:p>
        </w:tc>
        <w:tc>
          <w:tcPr>
            <w:tcW w:w="585" w:type="pct"/>
            <w:vAlign w:val="center"/>
          </w:tcPr>
          <w:p w14:paraId="6C12AE25" w14:textId="77777777" w:rsidR="009D39A0" w:rsidRPr="008355D0" w:rsidRDefault="009D39A0" w:rsidP="00D52EC8">
            <w:pPr>
              <w:pStyle w:val="Gvdemetni0"/>
              <w:spacing w:after="0"/>
              <w:jc w:val="both"/>
              <w:rPr>
                <w:rFonts w:ascii="Times New Roman" w:hAnsi="Times New Roman" w:cs="Times New Roman"/>
                <w:sz w:val="24"/>
                <w:szCs w:val="24"/>
              </w:rPr>
            </w:pPr>
            <w:r w:rsidRPr="008355D0">
              <w:rPr>
                <w:rFonts w:ascii="Times New Roman" w:hAnsi="Times New Roman" w:cs="Times New Roman"/>
                <w:sz w:val="24"/>
                <w:szCs w:val="24"/>
              </w:rPr>
              <w:t xml:space="preserve">EPRI ve </w:t>
            </w:r>
            <w:proofErr w:type="spellStart"/>
            <w:r w:rsidRPr="008355D0">
              <w:rPr>
                <w:rFonts w:ascii="Times New Roman" w:hAnsi="Times New Roman" w:cs="Times New Roman"/>
                <w:sz w:val="24"/>
                <w:szCs w:val="24"/>
              </w:rPr>
              <w:t>Ecova</w:t>
            </w:r>
            <w:proofErr w:type="spellEnd"/>
          </w:p>
        </w:tc>
        <w:tc>
          <w:tcPr>
            <w:tcW w:w="2225" w:type="pct"/>
            <w:vAlign w:val="center"/>
          </w:tcPr>
          <w:p w14:paraId="23AFC40B" w14:textId="77777777" w:rsidR="009D39A0" w:rsidRPr="00DD456E" w:rsidRDefault="009D39A0" w:rsidP="00D52EC8">
            <w:pPr>
              <w:pStyle w:val="Gvdemetni0"/>
              <w:spacing w:after="0"/>
              <w:jc w:val="both"/>
              <w:rPr>
                <w:rFonts w:ascii="Times New Roman" w:hAnsi="Times New Roman" w:cs="Times New Roman"/>
                <w:sz w:val="24"/>
                <w:szCs w:val="24"/>
              </w:rPr>
            </w:pPr>
            <w:r w:rsidRPr="00DD456E">
              <w:rPr>
                <w:rFonts w:ascii="Times New Roman" w:hAnsi="Times New Roman" w:cs="Times New Roman"/>
                <w:sz w:val="24"/>
                <w:szCs w:val="24"/>
              </w:rPr>
              <w:t>Dâhili AC-DC ve DC-DC Güç Kaynaklarının Enerji Verimliliğini Hesaplamak İçin Genelleştirilmiş Test Protokolü Revizyon 6.7</w:t>
            </w:r>
          </w:p>
        </w:tc>
        <w:tc>
          <w:tcPr>
            <w:tcW w:w="1210" w:type="pct"/>
            <w:vMerge/>
            <w:vAlign w:val="center"/>
          </w:tcPr>
          <w:p w14:paraId="2900A48D" w14:textId="77777777" w:rsidR="009D39A0" w:rsidRPr="00A31ABF" w:rsidRDefault="009D39A0" w:rsidP="00D52EC8">
            <w:pPr>
              <w:pStyle w:val="Gvdemetni0"/>
              <w:spacing w:after="0"/>
              <w:jc w:val="both"/>
              <w:rPr>
                <w:rFonts w:ascii="Times New Roman" w:hAnsi="Times New Roman" w:cs="Times New Roman"/>
                <w:color w:val="FF0000"/>
                <w:sz w:val="24"/>
                <w:szCs w:val="24"/>
              </w:rPr>
            </w:pPr>
          </w:p>
        </w:tc>
      </w:tr>
      <w:tr w:rsidR="009D39A0" w:rsidRPr="00A31ABF" w14:paraId="20A758A3" w14:textId="77777777" w:rsidTr="00D52EC8">
        <w:tc>
          <w:tcPr>
            <w:tcW w:w="980" w:type="pct"/>
            <w:vAlign w:val="center"/>
          </w:tcPr>
          <w:p w14:paraId="06B45C35" w14:textId="77777777" w:rsidR="009D39A0" w:rsidRPr="00DD456E" w:rsidRDefault="009D39A0" w:rsidP="00D52EC8">
            <w:pPr>
              <w:pStyle w:val="Gvdemetni0"/>
              <w:spacing w:after="0"/>
              <w:jc w:val="both"/>
              <w:rPr>
                <w:rFonts w:ascii="Times New Roman" w:hAnsi="Times New Roman" w:cs="Times New Roman"/>
                <w:sz w:val="24"/>
                <w:szCs w:val="24"/>
              </w:rPr>
            </w:pPr>
            <w:r w:rsidRPr="00DD456E">
              <w:rPr>
                <w:rFonts w:ascii="Times New Roman" w:hAnsi="Times New Roman" w:cs="Times New Roman"/>
                <w:sz w:val="24"/>
                <w:szCs w:val="24"/>
              </w:rPr>
              <w:t>Çalışma Koşulu Sınıfı</w:t>
            </w:r>
          </w:p>
        </w:tc>
        <w:tc>
          <w:tcPr>
            <w:tcW w:w="585" w:type="pct"/>
            <w:vAlign w:val="center"/>
          </w:tcPr>
          <w:p w14:paraId="5042056A" w14:textId="77777777" w:rsidR="009D39A0" w:rsidRPr="006A0BEF" w:rsidRDefault="009D39A0" w:rsidP="00D52EC8">
            <w:pPr>
              <w:pStyle w:val="Gvdemetni0"/>
              <w:spacing w:after="0"/>
              <w:rPr>
                <w:rFonts w:ascii="Times New Roman" w:hAnsi="Times New Roman" w:cs="Times New Roman"/>
                <w:sz w:val="24"/>
                <w:szCs w:val="24"/>
              </w:rPr>
            </w:pPr>
            <w:proofErr w:type="spellStart"/>
            <w:r w:rsidRPr="006A0BEF">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6A0BEF">
              <w:rPr>
                <w:rFonts w:ascii="Times New Roman" w:hAnsi="Times New Roman" w:cs="Times New Roman"/>
                <w:sz w:val="24"/>
                <w:szCs w:val="24"/>
              </w:rPr>
              <w:t>Green</w:t>
            </w:r>
            <w:proofErr w:type="spellEnd"/>
            <w:r>
              <w:rPr>
                <w:rFonts w:ascii="Times New Roman" w:hAnsi="Times New Roman" w:cs="Times New Roman"/>
                <w:sz w:val="24"/>
                <w:szCs w:val="24"/>
              </w:rPr>
              <w:t xml:space="preserve"> </w:t>
            </w:r>
            <w:proofErr w:type="spellStart"/>
            <w:r w:rsidRPr="006A0BEF">
              <w:rPr>
                <w:rFonts w:ascii="Times New Roman" w:hAnsi="Times New Roman" w:cs="Times New Roman"/>
                <w:sz w:val="24"/>
                <w:szCs w:val="24"/>
              </w:rPr>
              <w:t>Grid</w:t>
            </w:r>
            <w:proofErr w:type="spellEnd"/>
          </w:p>
        </w:tc>
        <w:tc>
          <w:tcPr>
            <w:tcW w:w="2225" w:type="pct"/>
            <w:vAlign w:val="center"/>
          </w:tcPr>
          <w:p w14:paraId="0FD69B23" w14:textId="77777777" w:rsidR="009D39A0" w:rsidRPr="00A55F17" w:rsidRDefault="009D39A0" w:rsidP="00D52EC8">
            <w:pPr>
              <w:pStyle w:val="Gvdemetni0"/>
              <w:spacing w:after="0"/>
              <w:jc w:val="both"/>
              <w:rPr>
                <w:rFonts w:ascii="Times New Roman" w:hAnsi="Times New Roman" w:cs="Times New Roman"/>
                <w:sz w:val="24"/>
                <w:szCs w:val="24"/>
              </w:rPr>
            </w:pPr>
            <w:r w:rsidRPr="00A55F17">
              <w:rPr>
                <w:rFonts w:ascii="Times New Roman" w:hAnsi="Times New Roman" w:cs="Times New Roman"/>
                <w:sz w:val="24"/>
                <w:szCs w:val="24"/>
              </w:rPr>
              <w:t>“Veri depolama ürünlerinin çalışma koşulu sınıfı”</w:t>
            </w:r>
          </w:p>
        </w:tc>
        <w:tc>
          <w:tcPr>
            <w:tcW w:w="1210" w:type="pct"/>
            <w:vAlign w:val="center"/>
          </w:tcPr>
          <w:p w14:paraId="370A4935" w14:textId="77777777" w:rsidR="009D39A0" w:rsidRPr="00631D89" w:rsidRDefault="009D39A0" w:rsidP="00D52EC8">
            <w:pPr>
              <w:pStyle w:val="Gvdemetni0"/>
              <w:spacing w:after="0"/>
              <w:jc w:val="both"/>
              <w:rPr>
                <w:rFonts w:ascii="Times New Roman" w:hAnsi="Times New Roman" w:cs="Times New Roman"/>
                <w:sz w:val="24"/>
                <w:szCs w:val="24"/>
              </w:rPr>
            </w:pPr>
            <w:r w:rsidRPr="00631D89">
              <w:rPr>
                <w:rFonts w:ascii="Times New Roman" w:hAnsi="Times New Roman" w:cs="Times New Roman"/>
                <w:sz w:val="24"/>
                <w:szCs w:val="24"/>
              </w:rPr>
              <w:t xml:space="preserve">İmalatçı, ithalatçı veya yetkili temsilci ürünün çalışma koşulu sınıfını A1, A2, A3 veya A4 olarak beyan etmek zorundadır. Test edilen birim, modelin uygun olduğu beyan edilen özel çalışma koşulu </w:t>
            </w:r>
            <w:r w:rsidRPr="00631D89">
              <w:rPr>
                <w:rFonts w:ascii="Times New Roman" w:hAnsi="Times New Roman" w:cs="Times New Roman"/>
                <w:sz w:val="24"/>
                <w:szCs w:val="24"/>
              </w:rPr>
              <w:lastRenderedPageBreak/>
              <w:t xml:space="preserve">sınıfı için (A1, A2, A3 veya A4) izin verilen en yüksek sıcaklık değerine karşılık gelen bir sıcaklığa yerleştirilir. </w:t>
            </w:r>
          </w:p>
        </w:tc>
      </w:tr>
      <w:tr w:rsidR="009D39A0" w:rsidRPr="00A31ABF" w14:paraId="3CEC868F" w14:textId="77777777" w:rsidTr="00D52EC8">
        <w:tc>
          <w:tcPr>
            <w:tcW w:w="980" w:type="pct"/>
          </w:tcPr>
          <w:p w14:paraId="4F002BA6" w14:textId="77777777" w:rsidR="009D39A0" w:rsidRPr="008E5715" w:rsidRDefault="009D39A0" w:rsidP="00D52EC8">
            <w:pPr>
              <w:pStyle w:val="Gvdemetni0"/>
              <w:spacing w:after="0"/>
              <w:jc w:val="both"/>
              <w:rPr>
                <w:rFonts w:ascii="Times New Roman" w:hAnsi="Times New Roman" w:cs="Times New Roman"/>
                <w:sz w:val="24"/>
                <w:szCs w:val="24"/>
              </w:rPr>
            </w:pPr>
            <w:r w:rsidRPr="008E5715">
              <w:rPr>
                <w:rFonts w:ascii="Times New Roman" w:hAnsi="Times New Roman" w:cs="Times New Roman"/>
                <w:sz w:val="24"/>
                <w:szCs w:val="24"/>
              </w:rPr>
              <w:lastRenderedPageBreak/>
              <w:t>Bellenimin kullanılabilirliği</w:t>
            </w:r>
          </w:p>
        </w:tc>
        <w:tc>
          <w:tcPr>
            <w:tcW w:w="585" w:type="pct"/>
          </w:tcPr>
          <w:p w14:paraId="54974F41" w14:textId="77777777" w:rsidR="009D39A0" w:rsidRPr="008E5715" w:rsidRDefault="009D39A0" w:rsidP="00D52EC8">
            <w:pPr>
              <w:pStyle w:val="Gvdemetni0"/>
              <w:spacing w:after="0"/>
              <w:jc w:val="both"/>
              <w:rPr>
                <w:rFonts w:ascii="Times New Roman" w:hAnsi="Times New Roman" w:cs="Times New Roman"/>
                <w:sz w:val="24"/>
                <w:szCs w:val="24"/>
              </w:rPr>
            </w:pPr>
          </w:p>
        </w:tc>
        <w:tc>
          <w:tcPr>
            <w:tcW w:w="2225" w:type="pct"/>
          </w:tcPr>
          <w:p w14:paraId="4BC8432F" w14:textId="77777777" w:rsidR="009D39A0" w:rsidRPr="00A31ABF" w:rsidRDefault="009D39A0" w:rsidP="00D52EC8">
            <w:pPr>
              <w:pStyle w:val="Gvdemetni0"/>
              <w:spacing w:after="0"/>
              <w:jc w:val="both"/>
              <w:rPr>
                <w:rFonts w:ascii="Times New Roman" w:hAnsi="Times New Roman" w:cs="Times New Roman"/>
                <w:color w:val="FF0000"/>
                <w:sz w:val="24"/>
                <w:szCs w:val="24"/>
              </w:rPr>
            </w:pPr>
            <w:r w:rsidRPr="008E5715">
              <w:rPr>
                <w:rFonts w:ascii="Times New Roman" w:hAnsi="Times New Roman" w:cs="Times New Roman"/>
                <w:sz w:val="24"/>
                <w:szCs w:val="24"/>
              </w:rPr>
              <w:t>Mevcut değil</w:t>
            </w:r>
          </w:p>
        </w:tc>
        <w:tc>
          <w:tcPr>
            <w:tcW w:w="1210" w:type="pct"/>
          </w:tcPr>
          <w:p w14:paraId="5CC6425B" w14:textId="77777777" w:rsidR="009D39A0" w:rsidRPr="00A31ABF" w:rsidRDefault="009D39A0" w:rsidP="00D52EC8">
            <w:pPr>
              <w:pStyle w:val="Gvdemetni0"/>
              <w:spacing w:after="0"/>
              <w:jc w:val="both"/>
              <w:rPr>
                <w:rFonts w:ascii="Times New Roman" w:hAnsi="Times New Roman" w:cs="Times New Roman"/>
                <w:color w:val="FF0000"/>
                <w:sz w:val="24"/>
                <w:szCs w:val="24"/>
              </w:rPr>
            </w:pPr>
          </w:p>
        </w:tc>
      </w:tr>
      <w:tr w:rsidR="009D39A0" w:rsidRPr="00A31ABF" w14:paraId="3D6A6F40" w14:textId="77777777" w:rsidTr="00D52EC8">
        <w:tc>
          <w:tcPr>
            <w:tcW w:w="980" w:type="pct"/>
            <w:vAlign w:val="center"/>
          </w:tcPr>
          <w:p w14:paraId="58F2EC32" w14:textId="77777777" w:rsidR="009D39A0" w:rsidRPr="00C40C7E" w:rsidRDefault="009D39A0" w:rsidP="00D52EC8">
            <w:pPr>
              <w:pStyle w:val="Gvdemetni0"/>
              <w:spacing w:after="0"/>
              <w:jc w:val="both"/>
              <w:rPr>
                <w:rFonts w:ascii="Times New Roman" w:hAnsi="Times New Roman" w:cs="Times New Roman"/>
                <w:sz w:val="24"/>
                <w:szCs w:val="24"/>
              </w:rPr>
            </w:pPr>
            <w:r w:rsidRPr="00C40C7E">
              <w:rPr>
                <w:rFonts w:ascii="Times New Roman" w:hAnsi="Times New Roman" w:cs="Times New Roman"/>
                <w:sz w:val="24"/>
                <w:szCs w:val="24"/>
              </w:rPr>
              <w:t>Güvenli veri silme</w:t>
            </w:r>
          </w:p>
        </w:tc>
        <w:tc>
          <w:tcPr>
            <w:tcW w:w="585" w:type="pct"/>
            <w:vAlign w:val="center"/>
          </w:tcPr>
          <w:p w14:paraId="7A5C289B" w14:textId="77777777" w:rsidR="009D39A0" w:rsidRPr="00A31ABF" w:rsidRDefault="009D39A0" w:rsidP="00D52EC8">
            <w:pPr>
              <w:pStyle w:val="Gvdemetni0"/>
              <w:spacing w:after="0"/>
              <w:jc w:val="both"/>
              <w:rPr>
                <w:rFonts w:ascii="Times New Roman" w:hAnsi="Times New Roman" w:cs="Times New Roman"/>
                <w:color w:val="FF0000"/>
                <w:sz w:val="24"/>
                <w:szCs w:val="24"/>
              </w:rPr>
            </w:pPr>
            <w:r w:rsidRPr="00C40C7E">
              <w:rPr>
                <w:rFonts w:ascii="Times New Roman" w:hAnsi="Times New Roman" w:cs="Times New Roman"/>
                <w:sz w:val="24"/>
                <w:szCs w:val="24"/>
              </w:rPr>
              <w:t>NIST</w:t>
            </w:r>
          </w:p>
        </w:tc>
        <w:tc>
          <w:tcPr>
            <w:tcW w:w="2225" w:type="pct"/>
            <w:vAlign w:val="center"/>
          </w:tcPr>
          <w:p w14:paraId="3C8EB879" w14:textId="61BE6E39" w:rsidR="009D39A0" w:rsidRPr="009C345C" w:rsidRDefault="00BA09F9" w:rsidP="00D52EC8">
            <w:pPr>
              <w:pStyle w:val="Gvdemetni0"/>
              <w:spacing w:after="0"/>
              <w:jc w:val="both"/>
              <w:rPr>
                <w:rFonts w:ascii="Times New Roman" w:hAnsi="Times New Roman" w:cs="Times New Roman"/>
                <w:sz w:val="24"/>
                <w:szCs w:val="24"/>
              </w:rPr>
            </w:pPr>
            <w:r w:rsidRPr="00BA09F9">
              <w:rPr>
                <w:rFonts w:ascii="Times New Roman" w:hAnsi="Times New Roman" w:cs="Times New Roman"/>
                <w:sz w:val="24"/>
                <w:szCs w:val="24"/>
              </w:rPr>
              <w:t>Medya Temizleme Yönergeleri</w:t>
            </w:r>
            <w:r w:rsidR="009D39A0" w:rsidRPr="009C345C">
              <w:rPr>
                <w:rFonts w:ascii="Times New Roman" w:hAnsi="Times New Roman" w:cs="Times New Roman"/>
                <w:sz w:val="24"/>
                <w:szCs w:val="24"/>
              </w:rPr>
              <w:t>, NIST Özel Yayını 800-</w:t>
            </w:r>
            <w:proofErr w:type="gramStart"/>
            <w:r w:rsidR="009D39A0" w:rsidRPr="009C345C">
              <w:rPr>
                <w:rFonts w:ascii="Times New Roman" w:hAnsi="Times New Roman" w:cs="Times New Roman"/>
                <w:sz w:val="24"/>
                <w:szCs w:val="24"/>
              </w:rPr>
              <w:t>88 -</w:t>
            </w:r>
            <w:proofErr w:type="gramEnd"/>
            <w:r w:rsidR="009D39A0" w:rsidRPr="009C345C">
              <w:rPr>
                <w:rFonts w:ascii="Times New Roman" w:hAnsi="Times New Roman" w:cs="Times New Roman"/>
                <w:sz w:val="24"/>
                <w:szCs w:val="24"/>
              </w:rPr>
              <w:t xml:space="preserve"> Revizyon 1</w:t>
            </w:r>
          </w:p>
        </w:tc>
        <w:tc>
          <w:tcPr>
            <w:tcW w:w="1210" w:type="pct"/>
            <w:vAlign w:val="center"/>
          </w:tcPr>
          <w:p w14:paraId="4A47BEAA" w14:textId="77777777" w:rsidR="009D39A0" w:rsidRPr="00A31ABF" w:rsidRDefault="009D39A0" w:rsidP="00D52EC8">
            <w:pPr>
              <w:pStyle w:val="Gvdemetni0"/>
              <w:spacing w:after="0"/>
              <w:jc w:val="both"/>
              <w:rPr>
                <w:rFonts w:ascii="Times New Roman" w:hAnsi="Times New Roman" w:cs="Times New Roman"/>
                <w:color w:val="FF0000"/>
                <w:sz w:val="24"/>
                <w:szCs w:val="24"/>
              </w:rPr>
            </w:pPr>
          </w:p>
        </w:tc>
      </w:tr>
      <w:tr w:rsidR="009D39A0" w:rsidRPr="00A31ABF" w14:paraId="4D0CCB9C" w14:textId="77777777" w:rsidTr="00D52EC8">
        <w:tc>
          <w:tcPr>
            <w:tcW w:w="980" w:type="pct"/>
            <w:vAlign w:val="center"/>
          </w:tcPr>
          <w:p w14:paraId="373ACEE1" w14:textId="77777777" w:rsidR="009D39A0" w:rsidRPr="00A31ABF" w:rsidRDefault="009D39A0" w:rsidP="00D52EC8">
            <w:pPr>
              <w:pStyle w:val="Gvdemetni0"/>
              <w:spacing w:after="0"/>
              <w:jc w:val="both"/>
              <w:rPr>
                <w:rFonts w:ascii="Times New Roman" w:hAnsi="Times New Roman" w:cs="Times New Roman"/>
                <w:color w:val="FF0000"/>
                <w:sz w:val="24"/>
                <w:szCs w:val="24"/>
              </w:rPr>
            </w:pPr>
            <w:r w:rsidRPr="00C40C7E">
              <w:rPr>
                <w:rFonts w:ascii="Times New Roman" w:hAnsi="Times New Roman" w:cs="Times New Roman"/>
                <w:sz w:val="24"/>
                <w:szCs w:val="24"/>
              </w:rPr>
              <w:t>Veri depolama ürününün sökülebilme özelliği</w:t>
            </w:r>
          </w:p>
        </w:tc>
        <w:tc>
          <w:tcPr>
            <w:tcW w:w="585" w:type="pct"/>
            <w:vAlign w:val="center"/>
          </w:tcPr>
          <w:p w14:paraId="661F6567" w14:textId="77777777" w:rsidR="009D39A0" w:rsidRPr="00A31ABF" w:rsidRDefault="009D39A0" w:rsidP="00D52EC8">
            <w:pPr>
              <w:pStyle w:val="Gvdemetni0"/>
              <w:spacing w:after="0"/>
              <w:jc w:val="both"/>
              <w:rPr>
                <w:rFonts w:ascii="Times New Roman" w:hAnsi="Times New Roman" w:cs="Times New Roman"/>
                <w:color w:val="FF0000"/>
                <w:sz w:val="24"/>
                <w:szCs w:val="24"/>
              </w:rPr>
            </w:pPr>
          </w:p>
        </w:tc>
        <w:tc>
          <w:tcPr>
            <w:tcW w:w="2225" w:type="pct"/>
            <w:vAlign w:val="center"/>
          </w:tcPr>
          <w:p w14:paraId="5D820E30" w14:textId="77777777" w:rsidR="009D39A0" w:rsidRPr="00C40C7E" w:rsidRDefault="009D39A0" w:rsidP="00D52EC8">
            <w:pPr>
              <w:pStyle w:val="Gvdemetni0"/>
              <w:spacing w:after="0"/>
              <w:jc w:val="both"/>
              <w:rPr>
                <w:rFonts w:ascii="Times New Roman" w:hAnsi="Times New Roman" w:cs="Times New Roman"/>
                <w:sz w:val="24"/>
                <w:szCs w:val="24"/>
              </w:rPr>
            </w:pPr>
            <w:r w:rsidRPr="00C40C7E">
              <w:rPr>
                <w:rFonts w:ascii="Times New Roman" w:hAnsi="Times New Roman" w:cs="Times New Roman"/>
                <w:sz w:val="24"/>
                <w:szCs w:val="24"/>
              </w:rPr>
              <w:t>Mevcut değil</w:t>
            </w:r>
          </w:p>
        </w:tc>
        <w:tc>
          <w:tcPr>
            <w:tcW w:w="1210" w:type="pct"/>
            <w:vAlign w:val="center"/>
          </w:tcPr>
          <w:p w14:paraId="6167253F" w14:textId="77777777" w:rsidR="009D39A0" w:rsidRPr="00A31ABF" w:rsidRDefault="009D39A0" w:rsidP="00D52EC8">
            <w:pPr>
              <w:pStyle w:val="Gvdemetni0"/>
              <w:spacing w:after="0"/>
              <w:jc w:val="both"/>
              <w:rPr>
                <w:rFonts w:ascii="Times New Roman" w:hAnsi="Times New Roman" w:cs="Times New Roman"/>
                <w:color w:val="FF0000"/>
                <w:sz w:val="24"/>
                <w:szCs w:val="24"/>
              </w:rPr>
            </w:pPr>
          </w:p>
        </w:tc>
      </w:tr>
      <w:tr w:rsidR="009D39A0" w:rsidRPr="00A31ABF" w14:paraId="41642A42" w14:textId="77777777" w:rsidTr="00D52EC8">
        <w:tc>
          <w:tcPr>
            <w:tcW w:w="980" w:type="pct"/>
            <w:vAlign w:val="center"/>
          </w:tcPr>
          <w:p w14:paraId="7EEC04D2" w14:textId="77777777" w:rsidR="009D39A0" w:rsidRPr="00C740D7" w:rsidRDefault="009D39A0" w:rsidP="00D52EC8">
            <w:pPr>
              <w:pStyle w:val="Gvdemetni0"/>
              <w:spacing w:after="0"/>
              <w:jc w:val="both"/>
              <w:rPr>
                <w:rFonts w:ascii="Times New Roman" w:hAnsi="Times New Roman" w:cs="Times New Roman"/>
                <w:sz w:val="24"/>
                <w:szCs w:val="24"/>
              </w:rPr>
            </w:pPr>
            <w:r w:rsidRPr="00C740D7">
              <w:rPr>
                <w:rFonts w:ascii="Times New Roman" w:hAnsi="Times New Roman" w:cs="Times New Roman"/>
                <w:sz w:val="24"/>
                <w:szCs w:val="24"/>
              </w:rPr>
              <w:t>Kritik ham madde (CRM) içeriği</w:t>
            </w:r>
          </w:p>
        </w:tc>
        <w:tc>
          <w:tcPr>
            <w:tcW w:w="585" w:type="pct"/>
            <w:vAlign w:val="center"/>
          </w:tcPr>
          <w:p w14:paraId="3F81F4BC" w14:textId="77777777" w:rsidR="009D39A0" w:rsidRPr="00A31ABF" w:rsidRDefault="009D39A0" w:rsidP="00D52EC8">
            <w:pPr>
              <w:pStyle w:val="Gvdemetni0"/>
              <w:spacing w:after="0"/>
              <w:jc w:val="both"/>
              <w:rPr>
                <w:rFonts w:ascii="Times New Roman" w:hAnsi="Times New Roman" w:cs="Times New Roman"/>
                <w:color w:val="FF0000"/>
                <w:sz w:val="24"/>
                <w:szCs w:val="24"/>
              </w:rPr>
            </w:pPr>
          </w:p>
        </w:tc>
        <w:tc>
          <w:tcPr>
            <w:tcW w:w="2225" w:type="pct"/>
            <w:vAlign w:val="center"/>
          </w:tcPr>
          <w:p w14:paraId="7796A14B" w14:textId="77777777" w:rsidR="009D39A0" w:rsidRPr="00C740D7" w:rsidRDefault="009D39A0" w:rsidP="00D52EC8">
            <w:pPr>
              <w:pStyle w:val="Gvdemetni0"/>
              <w:spacing w:after="0"/>
              <w:jc w:val="both"/>
              <w:rPr>
                <w:rFonts w:ascii="Times New Roman" w:hAnsi="Times New Roman" w:cs="Times New Roman"/>
                <w:sz w:val="24"/>
                <w:szCs w:val="24"/>
              </w:rPr>
            </w:pPr>
            <w:r w:rsidRPr="00C740D7">
              <w:rPr>
                <w:rFonts w:ascii="Times New Roman" w:hAnsi="Times New Roman" w:cs="Times New Roman"/>
                <w:sz w:val="24"/>
                <w:szCs w:val="24"/>
              </w:rPr>
              <w:t>EN 45558:2019</w:t>
            </w:r>
          </w:p>
        </w:tc>
        <w:tc>
          <w:tcPr>
            <w:tcW w:w="1210" w:type="pct"/>
            <w:vAlign w:val="center"/>
          </w:tcPr>
          <w:p w14:paraId="68B6A1A5" w14:textId="77777777" w:rsidR="009D39A0" w:rsidRPr="00A31ABF" w:rsidRDefault="009D39A0" w:rsidP="00D52EC8">
            <w:pPr>
              <w:pStyle w:val="Gvdemetni0"/>
              <w:spacing w:after="0"/>
              <w:jc w:val="both"/>
              <w:rPr>
                <w:rFonts w:ascii="Times New Roman" w:hAnsi="Times New Roman" w:cs="Times New Roman"/>
                <w:color w:val="FF0000"/>
                <w:sz w:val="24"/>
                <w:szCs w:val="24"/>
              </w:rPr>
            </w:pPr>
          </w:p>
        </w:tc>
      </w:tr>
    </w:tbl>
    <w:p w14:paraId="01709FA5" w14:textId="402E7BEC" w:rsidR="009D39A0" w:rsidRDefault="009D39A0" w:rsidP="0000235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254F27C" w14:textId="1FE77283" w:rsidR="008E17D6" w:rsidRDefault="008E17D6" w:rsidP="00002353">
      <w:pPr>
        <w:spacing w:after="0" w:line="240" w:lineRule="auto"/>
        <w:rPr>
          <w:rFonts w:ascii="Times New Roman" w:hAnsi="Times New Roman" w:cs="Times New Roman"/>
          <w:sz w:val="24"/>
          <w:szCs w:val="24"/>
        </w:rPr>
      </w:pPr>
    </w:p>
    <w:p w14:paraId="0D20E1E9" w14:textId="418764B6" w:rsidR="008E17D6" w:rsidRDefault="008E17D6" w:rsidP="00002353">
      <w:pPr>
        <w:spacing w:after="0" w:line="240" w:lineRule="auto"/>
        <w:rPr>
          <w:rFonts w:ascii="Times New Roman" w:hAnsi="Times New Roman" w:cs="Times New Roman"/>
          <w:sz w:val="24"/>
          <w:szCs w:val="24"/>
        </w:rPr>
      </w:pPr>
    </w:p>
    <w:p w14:paraId="022F7562" w14:textId="71B6ED37" w:rsidR="008E17D6" w:rsidRDefault="008E17D6" w:rsidP="00002353">
      <w:pPr>
        <w:spacing w:after="0" w:line="240" w:lineRule="auto"/>
        <w:rPr>
          <w:rFonts w:ascii="Times New Roman" w:hAnsi="Times New Roman" w:cs="Times New Roman"/>
          <w:sz w:val="24"/>
          <w:szCs w:val="24"/>
        </w:rPr>
      </w:pPr>
    </w:p>
    <w:p w14:paraId="11B7552A" w14:textId="414AF251" w:rsidR="008E17D6" w:rsidRDefault="008E17D6" w:rsidP="00002353">
      <w:pPr>
        <w:spacing w:after="0" w:line="240" w:lineRule="auto"/>
        <w:rPr>
          <w:rFonts w:ascii="Times New Roman" w:hAnsi="Times New Roman" w:cs="Times New Roman"/>
          <w:sz w:val="24"/>
          <w:szCs w:val="24"/>
        </w:rPr>
      </w:pPr>
    </w:p>
    <w:p w14:paraId="733EE0E5" w14:textId="4E46985E" w:rsidR="008E17D6" w:rsidRDefault="008E17D6" w:rsidP="00002353">
      <w:pPr>
        <w:spacing w:after="0" w:line="240" w:lineRule="auto"/>
        <w:rPr>
          <w:rFonts w:ascii="Times New Roman" w:hAnsi="Times New Roman" w:cs="Times New Roman"/>
          <w:sz w:val="24"/>
          <w:szCs w:val="24"/>
        </w:rPr>
      </w:pPr>
    </w:p>
    <w:p w14:paraId="05502CA3" w14:textId="6FCD1E90" w:rsidR="008E17D6" w:rsidRDefault="008E17D6" w:rsidP="00002353">
      <w:pPr>
        <w:spacing w:after="0" w:line="240" w:lineRule="auto"/>
        <w:rPr>
          <w:rFonts w:ascii="Times New Roman" w:hAnsi="Times New Roman" w:cs="Times New Roman"/>
          <w:sz w:val="24"/>
          <w:szCs w:val="24"/>
        </w:rPr>
      </w:pPr>
    </w:p>
    <w:p w14:paraId="2B1A60BE" w14:textId="2DFE1830" w:rsidR="008E17D6" w:rsidRDefault="008E17D6" w:rsidP="00002353">
      <w:pPr>
        <w:spacing w:after="0" w:line="240" w:lineRule="auto"/>
        <w:rPr>
          <w:rFonts w:ascii="Times New Roman" w:hAnsi="Times New Roman" w:cs="Times New Roman"/>
          <w:sz w:val="24"/>
          <w:szCs w:val="24"/>
        </w:rPr>
      </w:pPr>
    </w:p>
    <w:p w14:paraId="07F2C800" w14:textId="07EF6452" w:rsidR="008E17D6" w:rsidRDefault="008E17D6" w:rsidP="00002353">
      <w:pPr>
        <w:spacing w:after="0" w:line="240" w:lineRule="auto"/>
        <w:rPr>
          <w:rFonts w:ascii="Times New Roman" w:hAnsi="Times New Roman" w:cs="Times New Roman"/>
          <w:sz w:val="24"/>
          <w:szCs w:val="24"/>
        </w:rPr>
      </w:pPr>
    </w:p>
    <w:p w14:paraId="05E859BC" w14:textId="3DC740C3" w:rsidR="008E17D6" w:rsidRDefault="008E17D6" w:rsidP="00002353">
      <w:pPr>
        <w:spacing w:after="0" w:line="240" w:lineRule="auto"/>
        <w:rPr>
          <w:rFonts w:ascii="Times New Roman" w:hAnsi="Times New Roman" w:cs="Times New Roman"/>
          <w:sz w:val="24"/>
          <w:szCs w:val="24"/>
        </w:rPr>
      </w:pPr>
    </w:p>
    <w:p w14:paraId="200C4CE9" w14:textId="12EF58D8" w:rsidR="008E17D6" w:rsidRDefault="008E17D6" w:rsidP="00002353">
      <w:pPr>
        <w:spacing w:after="0" w:line="240" w:lineRule="auto"/>
        <w:rPr>
          <w:rFonts w:ascii="Times New Roman" w:hAnsi="Times New Roman" w:cs="Times New Roman"/>
          <w:sz w:val="24"/>
          <w:szCs w:val="24"/>
        </w:rPr>
      </w:pPr>
    </w:p>
    <w:p w14:paraId="033013EA" w14:textId="6678A962" w:rsidR="008E17D6" w:rsidRDefault="008E17D6" w:rsidP="00002353">
      <w:pPr>
        <w:spacing w:after="0" w:line="240" w:lineRule="auto"/>
        <w:rPr>
          <w:rFonts w:ascii="Times New Roman" w:hAnsi="Times New Roman" w:cs="Times New Roman"/>
          <w:sz w:val="24"/>
          <w:szCs w:val="24"/>
        </w:rPr>
      </w:pPr>
    </w:p>
    <w:p w14:paraId="3E070958" w14:textId="2EFE3F4D" w:rsidR="008E17D6" w:rsidRDefault="008E17D6" w:rsidP="00002353">
      <w:pPr>
        <w:spacing w:after="0" w:line="240" w:lineRule="auto"/>
        <w:rPr>
          <w:rFonts w:ascii="Times New Roman" w:hAnsi="Times New Roman" w:cs="Times New Roman"/>
          <w:sz w:val="24"/>
          <w:szCs w:val="24"/>
        </w:rPr>
      </w:pPr>
    </w:p>
    <w:p w14:paraId="6ACF27A4" w14:textId="2830A109" w:rsidR="008E17D6" w:rsidRDefault="008E17D6" w:rsidP="00002353">
      <w:pPr>
        <w:spacing w:after="0" w:line="240" w:lineRule="auto"/>
        <w:rPr>
          <w:rFonts w:ascii="Times New Roman" w:hAnsi="Times New Roman" w:cs="Times New Roman"/>
          <w:sz w:val="24"/>
          <w:szCs w:val="24"/>
        </w:rPr>
      </w:pPr>
    </w:p>
    <w:p w14:paraId="6C9EA3D1" w14:textId="1CFF890E" w:rsidR="008E17D6" w:rsidRDefault="008E17D6" w:rsidP="00002353">
      <w:pPr>
        <w:spacing w:after="0" w:line="240" w:lineRule="auto"/>
        <w:rPr>
          <w:rFonts w:ascii="Times New Roman" w:hAnsi="Times New Roman" w:cs="Times New Roman"/>
          <w:sz w:val="24"/>
          <w:szCs w:val="24"/>
        </w:rPr>
      </w:pPr>
    </w:p>
    <w:p w14:paraId="1239A8F1" w14:textId="4912EAA2" w:rsidR="008E17D6" w:rsidRDefault="008E17D6" w:rsidP="00002353">
      <w:pPr>
        <w:spacing w:after="0" w:line="240" w:lineRule="auto"/>
        <w:rPr>
          <w:rFonts w:ascii="Times New Roman" w:hAnsi="Times New Roman" w:cs="Times New Roman"/>
          <w:sz w:val="24"/>
          <w:szCs w:val="24"/>
        </w:rPr>
      </w:pPr>
    </w:p>
    <w:p w14:paraId="75C034D2" w14:textId="69B752AC" w:rsidR="008E17D6" w:rsidRDefault="008E17D6" w:rsidP="00002353">
      <w:pPr>
        <w:spacing w:after="0" w:line="240" w:lineRule="auto"/>
        <w:rPr>
          <w:rFonts w:ascii="Times New Roman" w:hAnsi="Times New Roman" w:cs="Times New Roman"/>
          <w:sz w:val="24"/>
          <w:szCs w:val="24"/>
        </w:rPr>
      </w:pPr>
    </w:p>
    <w:p w14:paraId="38EB9063" w14:textId="400F0221" w:rsidR="008E17D6" w:rsidRDefault="008E17D6" w:rsidP="00002353">
      <w:pPr>
        <w:spacing w:after="0" w:line="240" w:lineRule="auto"/>
        <w:rPr>
          <w:rFonts w:ascii="Times New Roman" w:hAnsi="Times New Roman" w:cs="Times New Roman"/>
          <w:sz w:val="24"/>
          <w:szCs w:val="24"/>
        </w:rPr>
      </w:pPr>
    </w:p>
    <w:p w14:paraId="1AD16F80" w14:textId="6FAF4E39" w:rsidR="008E17D6" w:rsidRDefault="008E17D6" w:rsidP="00002353">
      <w:pPr>
        <w:spacing w:after="0" w:line="240" w:lineRule="auto"/>
        <w:rPr>
          <w:rFonts w:ascii="Times New Roman" w:hAnsi="Times New Roman" w:cs="Times New Roman"/>
          <w:sz w:val="24"/>
          <w:szCs w:val="24"/>
        </w:rPr>
      </w:pPr>
    </w:p>
    <w:p w14:paraId="3358E0E9" w14:textId="73B91C63" w:rsidR="008E17D6" w:rsidRDefault="008E17D6" w:rsidP="00002353">
      <w:pPr>
        <w:spacing w:after="0" w:line="240" w:lineRule="auto"/>
        <w:rPr>
          <w:rFonts w:ascii="Times New Roman" w:hAnsi="Times New Roman" w:cs="Times New Roman"/>
          <w:sz w:val="24"/>
          <w:szCs w:val="24"/>
        </w:rPr>
      </w:pPr>
    </w:p>
    <w:p w14:paraId="1F8308B0" w14:textId="00F11232" w:rsidR="008E17D6" w:rsidRDefault="008E17D6" w:rsidP="00002353">
      <w:pPr>
        <w:spacing w:after="0" w:line="240" w:lineRule="auto"/>
        <w:rPr>
          <w:rFonts w:ascii="Times New Roman" w:hAnsi="Times New Roman" w:cs="Times New Roman"/>
          <w:sz w:val="24"/>
          <w:szCs w:val="24"/>
        </w:rPr>
      </w:pPr>
    </w:p>
    <w:p w14:paraId="3B53BBDD" w14:textId="165AF3DE" w:rsidR="008E17D6" w:rsidRDefault="008E17D6" w:rsidP="00002353">
      <w:pPr>
        <w:spacing w:after="0" w:line="240" w:lineRule="auto"/>
        <w:rPr>
          <w:rFonts w:ascii="Times New Roman" w:hAnsi="Times New Roman" w:cs="Times New Roman"/>
          <w:sz w:val="24"/>
          <w:szCs w:val="24"/>
        </w:rPr>
      </w:pPr>
    </w:p>
    <w:p w14:paraId="3A4A3DC7" w14:textId="4D30C2A0" w:rsidR="008E17D6" w:rsidRDefault="008E17D6" w:rsidP="00002353">
      <w:pPr>
        <w:spacing w:after="0" w:line="240" w:lineRule="auto"/>
        <w:rPr>
          <w:rFonts w:ascii="Times New Roman" w:hAnsi="Times New Roman" w:cs="Times New Roman"/>
          <w:sz w:val="24"/>
          <w:szCs w:val="24"/>
        </w:rPr>
      </w:pPr>
    </w:p>
    <w:p w14:paraId="62A74AF7" w14:textId="46F3D393" w:rsidR="008E17D6" w:rsidRDefault="008E17D6" w:rsidP="00002353">
      <w:pPr>
        <w:spacing w:after="0" w:line="240" w:lineRule="auto"/>
        <w:rPr>
          <w:rFonts w:ascii="Times New Roman" w:hAnsi="Times New Roman" w:cs="Times New Roman"/>
          <w:sz w:val="24"/>
          <w:szCs w:val="24"/>
        </w:rPr>
      </w:pPr>
    </w:p>
    <w:p w14:paraId="1308932F" w14:textId="4B033150" w:rsidR="008E17D6" w:rsidRDefault="008E17D6" w:rsidP="00002353">
      <w:pPr>
        <w:spacing w:after="0" w:line="240" w:lineRule="auto"/>
        <w:rPr>
          <w:rFonts w:ascii="Times New Roman" w:hAnsi="Times New Roman" w:cs="Times New Roman"/>
          <w:sz w:val="24"/>
          <w:szCs w:val="24"/>
        </w:rPr>
      </w:pPr>
    </w:p>
    <w:p w14:paraId="5487AF97" w14:textId="74681269" w:rsidR="008E17D6" w:rsidRDefault="008E17D6" w:rsidP="00002353">
      <w:pPr>
        <w:spacing w:after="0" w:line="240" w:lineRule="auto"/>
        <w:rPr>
          <w:rFonts w:ascii="Times New Roman" w:hAnsi="Times New Roman" w:cs="Times New Roman"/>
          <w:sz w:val="24"/>
          <w:szCs w:val="24"/>
        </w:rPr>
      </w:pPr>
    </w:p>
    <w:p w14:paraId="57974F30" w14:textId="62C5C6D1" w:rsidR="008E17D6" w:rsidRDefault="008E17D6" w:rsidP="00002353">
      <w:pPr>
        <w:spacing w:after="0" w:line="240" w:lineRule="auto"/>
        <w:rPr>
          <w:rFonts w:ascii="Times New Roman" w:hAnsi="Times New Roman" w:cs="Times New Roman"/>
          <w:sz w:val="24"/>
          <w:szCs w:val="24"/>
        </w:rPr>
      </w:pPr>
    </w:p>
    <w:p w14:paraId="58692CB8" w14:textId="55E58528" w:rsidR="008E17D6" w:rsidRDefault="008E17D6" w:rsidP="00002353">
      <w:pPr>
        <w:spacing w:after="0" w:line="240" w:lineRule="auto"/>
        <w:rPr>
          <w:rFonts w:ascii="Times New Roman" w:hAnsi="Times New Roman" w:cs="Times New Roman"/>
          <w:sz w:val="24"/>
          <w:szCs w:val="24"/>
        </w:rPr>
      </w:pPr>
    </w:p>
    <w:p w14:paraId="6132221A" w14:textId="5B531FBA" w:rsidR="008E17D6" w:rsidRDefault="008E17D6" w:rsidP="00002353">
      <w:pPr>
        <w:spacing w:after="0" w:line="240" w:lineRule="auto"/>
        <w:rPr>
          <w:rFonts w:ascii="Times New Roman" w:hAnsi="Times New Roman" w:cs="Times New Roman"/>
          <w:sz w:val="24"/>
          <w:szCs w:val="24"/>
        </w:rPr>
      </w:pPr>
    </w:p>
    <w:p w14:paraId="1EF50C12" w14:textId="39DCDECA" w:rsidR="008E17D6" w:rsidRDefault="008E17D6" w:rsidP="00002353">
      <w:pPr>
        <w:spacing w:after="0" w:line="240" w:lineRule="auto"/>
        <w:rPr>
          <w:rFonts w:ascii="Times New Roman" w:hAnsi="Times New Roman" w:cs="Times New Roman"/>
          <w:sz w:val="24"/>
          <w:szCs w:val="24"/>
        </w:rPr>
      </w:pPr>
    </w:p>
    <w:p w14:paraId="76A02451" w14:textId="6197658F" w:rsidR="008E17D6" w:rsidRDefault="008E17D6" w:rsidP="008E17D6">
      <w:pPr>
        <w:spacing w:after="0" w:line="240" w:lineRule="auto"/>
        <w:jc w:val="center"/>
        <w:rPr>
          <w:rFonts w:ascii="Times New Roman" w:hAnsi="Times New Roman" w:cs="Times New Roman"/>
          <w:b/>
          <w:sz w:val="24"/>
          <w:szCs w:val="24"/>
        </w:rPr>
      </w:pPr>
      <w:r w:rsidRPr="00BA09F9">
        <w:rPr>
          <w:rFonts w:ascii="Times New Roman" w:hAnsi="Times New Roman" w:cs="Times New Roman"/>
          <w:b/>
          <w:sz w:val="24"/>
          <w:szCs w:val="24"/>
        </w:rPr>
        <w:lastRenderedPageBreak/>
        <w:t>Ek-</w:t>
      </w:r>
      <w:r>
        <w:rPr>
          <w:rFonts w:ascii="Times New Roman" w:hAnsi="Times New Roman" w:cs="Times New Roman"/>
          <w:b/>
          <w:sz w:val="24"/>
          <w:szCs w:val="24"/>
        </w:rPr>
        <w:t>2</w:t>
      </w:r>
    </w:p>
    <w:p w14:paraId="08200B86" w14:textId="77777777" w:rsidR="00994F1D" w:rsidRDefault="00994F1D" w:rsidP="008E17D6">
      <w:pPr>
        <w:spacing w:after="0" w:line="240" w:lineRule="auto"/>
        <w:jc w:val="center"/>
        <w:rPr>
          <w:rFonts w:ascii="Times New Roman" w:hAnsi="Times New Roman" w:cs="Times New Roman"/>
          <w:b/>
          <w:sz w:val="24"/>
          <w:szCs w:val="24"/>
        </w:rPr>
      </w:pPr>
    </w:p>
    <w:p w14:paraId="2F534CCC" w14:textId="29B600E8" w:rsidR="008E17D6" w:rsidRDefault="008E17D6" w:rsidP="008E17D6">
      <w:pPr>
        <w:spacing w:after="0" w:line="240" w:lineRule="auto"/>
        <w:rPr>
          <w:rFonts w:ascii="Times New Roman" w:hAnsi="Times New Roman" w:cs="Times New Roman"/>
          <w:b/>
          <w:sz w:val="24"/>
          <w:szCs w:val="24"/>
        </w:rPr>
      </w:pPr>
    </w:p>
    <w:p w14:paraId="3B498CA6" w14:textId="13156E25" w:rsidR="008E17D6" w:rsidRPr="008E17D6" w:rsidRDefault="008E17D6" w:rsidP="008E17D6">
      <w:pPr>
        <w:pStyle w:val="Gvdemetni0"/>
        <w:spacing w:after="0"/>
        <w:ind w:left="1080"/>
        <w:jc w:val="right"/>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8E17D6">
        <w:rPr>
          <w:rFonts w:ascii="Times New Roman" w:hAnsi="Times New Roman" w:cs="Times New Roman"/>
          <w:b/>
          <w:color w:val="000000"/>
          <w:sz w:val="24"/>
          <w:szCs w:val="24"/>
        </w:rPr>
        <w:t>E</w:t>
      </w:r>
      <w:r w:rsidR="00994F1D">
        <w:rPr>
          <w:rFonts w:ascii="Times New Roman" w:hAnsi="Times New Roman" w:cs="Times New Roman"/>
          <w:b/>
          <w:color w:val="000000"/>
          <w:sz w:val="24"/>
          <w:szCs w:val="24"/>
        </w:rPr>
        <w:t>K</w:t>
      </w:r>
      <w:r w:rsidRPr="008E17D6">
        <w:rPr>
          <w:rFonts w:ascii="Times New Roman" w:hAnsi="Times New Roman" w:cs="Times New Roman"/>
          <w:b/>
          <w:color w:val="000000"/>
          <w:sz w:val="24"/>
          <w:szCs w:val="24"/>
        </w:rPr>
        <w:t>–IV</w:t>
      </w:r>
    </w:p>
    <w:p w14:paraId="0FA58A75" w14:textId="77777777" w:rsidR="008E17D6" w:rsidRPr="008E17D6" w:rsidRDefault="008E17D6" w:rsidP="008E17D6">
      <w:pPr>
        <w:pStyle w:val="Gvdemetni0"/>
        <w:spacing w:after="0"/>
        <w:jc w:val="center"/>
        <w:rPr>
          <w:rFonts w:ascii="Times New Roman" w:hAnsi="Times New Roman" w:cs="Times New Roman"/>
          <w:sz w:val="24"/>
          <w:szCs w:val="24"/>
        </w:rPr>
      </w:pPr>
      <w:r w:rsidRPr="008E17D6">
        <w:rPr>
          <w:rFonts w:ascii="Times New Roman" w:hAnsi="Times New Roman" w:cs="Times New Roman"/>
          <w:b/>
          <w:bCs/>
          <w:color w:val="000000"/>
          <w:sz w:val="24"/>
          <w:szCs w:val="24"/>
        </w:rPr>
        <w:t>PİYASA GÖZETİMİ VE DENETİMİ AMAÇLI DOĞRULAMA YÖNTEMİ</w:t>
      </w:r>
    </w:p>
    <w:p w14:paraId="5CBD6F49" w14:textId="77777777" w:rsidR="008E17D6" w:rsidRPr="008E17D6" w:rsidRDefault="008E17D6" w:rsidP="008E17D6">
      <w:pPr>
        <w:pStyle w:val="Gvdemetni0"/>
        <w:spacing w:after="0"/>
        <w:jc w:val="both"/>
        <w:rPr>
          <w:rFonts w:ascii="Times New Roman" w:hAnsi="Times New Roman" w:cs="Times New Roman"/>
          <w:color w:val="000000" w:themeColor="text1"/>
          <w:sz w:val="24"/>
          <w:szCs w:val="24"/>
        </w:rPr>
      </w:pPr>
      <w:r w:rsidRPr="008E17D6">
        <w:rPr>
          <w:rFonts w:ascii="Times New Roman" w:hAnsi="Times New Roman" w:cs="Times New Roman"/>
          <w:color w:val="000000" w:themeColor="text1"/>
          <w:sz w:val="24"/>
          <w:szCs w:val="24"/>
        </w:rPr>
        <w:t xml:space="preserve">Bu </w:t>
      </w:r>
      <w:proofErr w:type="spellStart"/>
      <w:r w:rsidRPr="008E17D6">
        <w:rPr>
          <w:rFonts w:ascii="Times New Roman" w:hAnsi="Times New Roman" w:cs="Times New Roman"/>
          <w:color w:val="000000" w:themeColor="text1"/>
          <w:sz w:val="24"/>
          <w:szCs w:val="24"/>
        </w:rPr>
        <w:t>Ek'te</w:t>
      </w:r>
      <w:proofErr w:type="spellEnd"/>
      <w:r w:rsidRPr="008E17D6">
        <w:rPr>
          <w:rFonts w:ascii="Times New Roman" w:hAnsi="Times New Roman" w:cs="Times New Roman"/>
          <w:color w:val="000000" w:themeColor="text1"/>
          <w:sz w:val="24"/>
          <w:szCs w:val="24"/>
        </w:rPr>
        <w:t xml:space="preserve"> tanımlanan doğrulama toleransları, yalnızca beyan edilen değerlerin Bakanlık tarafından doğrulanması ile ilgilidir ve teknik dosyadaki değerleri belirlemek veya uygunluk sağlamak amacıyla bu değerleri yorumlamak veya herhangi bir surette daha iyi bir performans bildirmek için izin verilen bir tolerans olarak imalatçı, ithalatçı veya yetkili temsilci tarafından kullanılamaz.</w:t>
      </w:r>
    </w:p>
    <w:p w14:paraId="6A6339FB" w14:textId="77777777" w:rsidR="008E17D6" w:rsidRPr="008E17D6" w:rsidRDefault="008E17D6" w:rsidP="008E17D6">
      <w:pPr>
        <w:pStyle w:val="Gvdemetni0"/>
        <w:spacing w:after="0"/>
        <w:jc w:val="both"/>
        <w:rPr>
          <w:rFonts w:ascii="Times New Roman" w:hAnsi="Times New Roman" w:cs="Times New Roman"/>
          <w:sz w:val="24"/>
          <w:szCs w:val="24"/>
        </w:rPr>
      </w:pPr>
      <w:r w:rsidRPr="008E17D6">
        <w:rPr>
          <w:rFonts w:ascii="Times New Roman" w:hAnsi="Times New Roman" w:cs="Times New Roman"/>
          <w:sz w:val="24"/>
          <w:szCs w:val="24"/>
        </w:rPr>
        <w:t>Bir model, test edildiğini algılayabilecek (örneğin, test koşullarını veya test döngüsünü tanıyarak) ve bu Tebliğde tanımlanan veya teknik dosyada yer alan veya herhangi bir dosyada yer alan herhangi bir parametre için otomatik olarak daha uygun bir seviyeye ulaşmak amacıyla test sırasında performansını değiştirerek belirli bir biçimde tepki verecek şekilde tasarlanırsa modelin uyumlu olmadığı kabul edilir.</w:t>
      </w:r>
    </w:p>
    <w:p w14:paraId="7BB432B0" w14:textId="382F3A3D" w:rsidR="008E17D6" w:rsidRPr="008E17D6" w:rsidRDefault="008E17D6" w:rsidP="008E17D6">
      <w:pPr>
        <w:pStyle w:val="Gvdemetni0"/>
        <w:spacing w:after="0"/>
        <w:jc w:val="both"/>
        <w:rPr>
          <w:rFonts w:ascii="Times New Roman" w:hAnsi="Times New Roman" w:cs="Times New Roman"/>
          <w:sz w:val="24"/>
          <w:szCs w:val="24"/>
        </w:rPr>
      </w:pPr>
      <w:r w:rsidRPr="008E17D6">
        <w:rPr>
          <w:rFonts w:ascii="Times New Roman" w:hAnsi="Times New Roman" w:cs="Times New Roman"/>
          <w:color w:val="000000" w:themeColor="text1"/>
          <w:sz w:val="24"/>
          <w:szCs w:val="24"/>
        </w:rPr>
        <w:t>Bakanlık bir ürün modelinin Enerji İle İlgili Ürünlerin Çevreye Duyarlı Tasarımına İlişkin Yönetmeliğin 5 inci maddesinin ikinci fıkrası gereği bu Tebliğde belirtilen gerekliliklere uygunluğu doğrulamanın bir parçası olarak, bu ekte belirtilen gereklilikler için, aşağıdaki prosedürü uygular:</w:t>
      </w:r>
    </w:p>
    <w:p w14:paraId="4B098857" w14:textId="77777777" w:rsidR="008E17D6" w:rsidRPr="008E17D6" w:rsidRDefault="008E17D6" w:rsidP="008E17D6">
      <w:pPr>
        <w:pStyle w:val="Gvdemetni0"/>
        <w:numPr>
          <w:ilvl w:val="0"/>
          <w:numId w:val="4"/>
        </w:numPr>
        <w:spacing w:after="0"/>
        <w:ind w:left="426" w:hanging="426"/>
        <w:jc w:val="both"/>
        <w:rPr>
          <w:rFonts w:ascii="Times New Roman" w:hAnsi="Times New Roman" w:cs="Times New Roman"/>
          <w:color w:val="000000"/>
          <w:sz w:val="24"/>
          <w:szCs w:val="24"/>
        </w:rPr>
      </w:pPr>
      <w:r w:rsidRPr="008E17D6">
        <w:rPr>
          <w:rFonts w:ascii="Times New Roman" w:hAnsi="Times New Roman" w:cs="Times New Roman"/>
          <w:color w:val="000000"/>
          <w:sz w:val="24"/>
          <w:szCs w:val="24"/>
        </w:rPr>
        <w:t>Bakanlık, modelin veya imalatçının bir sunucu ürün ailesini bildirmesi durumunda, model yapılandırmasının tek bir birimini doğrular. Eğer düşük seviye performans yapılandırmasında ya da yüksek seviye performans yapılandırmasında doğrulama sağlanırsa beyan edilen değerler ilgili yapılandırmaya ait değerler olur. Eğer doğrulama rastgele seçilen veya sıralanan bir model yapılandırmasına uygulanırsa beyan edilen değerler yüksek seviye performans yapılandırması değerleri olur.</w:t>
      </w:r>
      <w:bookmarkStart w:id="0" w:name="bookmark240"/>
      <w:bookmarkStart w:id="1" w:name="bookmark241"/>
      <w:bookmarkEnd w:id="0"/>
      <w:bookmarkEnd w:id="1"/>
    </w:p>
    <w:p w14:paraId="47C05BEE" w14:textId="77777777" w:rsidR="008E17D6" w:rsidRPr="008E17D6" w:rsidRDefault="008E17D6" w:rsidP="008E17D6">
      <w:pPr>
        <w:pStyle w:val="Gvdemetni0"/>
        <w:numPr>
          <w:ilvl w:val="0"/>
          <w:numId w:val="4"/>
        </w:numPr>
        <w:spacing w:after="0"/>
        <w:ind w:left="426" w:hanging="426"/>
        <w:jc w:val="both"/>
        <w:rPr>
          <w:rFonts w:ascii="Times New Roman" w:hAnsi="Times New Roman" w:cs="Times New Roman"/>
          <w:color w:val="000000"/>
          <w:sz w:val="24"/>
          <w:szCs w:val="24"/>
        </w:rPr>
      </w:pPr>
      <w:r w:rsidRPr="008E17D6">
        <w:rPr>
          <w:rFonts w:ascii="Times New Roman" w:hAnsi="Times New Roman" w:cs="Times New Roman"/>
          <w:sz w:val="24"/>
          <w:szCs w:val="24"/>
        </w:rPr>
        <w:t>Aşağıdaki durumlarda, model veya model yapılandırmasının uygulanabilir gerekliliklerle uygun olduğu kabul edilir:</w:t>
      </w:r>
    </w:p>
    <w:p w14:paraId="399389A3" w14:textId="77777777" w:rsidR="008E17D6" w:rsidRPr="008E17D6" w:rsidRDefault="008E17D6" w:rsidP="008E17D6">
      <w:pPr>
        <w:pStyle w:val="Gvdemetni0"/>
        <w:spacing w:after="0"/>
        <w:ind w:firstLine="426"/>
        <w:jc w:val="both"/>
        <w:rPr>
          <w:rFonts w:ascii="Times New Roman" w:hAnsi="Times New Roman" w:cs="Times New Roman"/>
          <w:color w:val="000000"/>
          <w:sz w:val="24"/>
          <w:szCs w:val="24"/>
        </w:rPr>
      </w:pPr>
      <w:bookmarkStart w:id="2" w:name="bookmark242"/>
      <w:bookmarkEnd w:id="2"/>
      <w:r w:rsidRPr="008E17D6">
        <w:rPr>
          <w:rFonts w:ascii="Times New Roman" w:hAnsi="Times New Roman" w:cs="Times New Roman"/>
          <w:color w:val="000000"/>
          <w:sz w:val="24"/>
          <w:szCs w:val="24"/>
        </w:rPr>
        <w:t>(a) Enerji ile İlgili Ürünlerin Çevreye Duyarlı Tasarımına İlişkin Yönetmeliğin Ek-</w:t>
      </w:r>
      <w:proofErr w:type="spellStart"/>
      <w:r w:rsidRPr="008E17D6">
        <w:rPr>
          <w:rFonts w:ascii="Times New Roman" w:hAnsi="Times New Roman" w:cs="Times New Roman"/>
          <w:color w:val="000000"/>
          <w:sz w:val="24"/>
          <w:szCs w:val="24"/>
        </w:rPr>
        <w:t>IV’ünün</w:t>
      </w:r>
      <w:proofErr w:type="spellEnd"/>
      <w:r w:rsidRPr="008E17D6">
        <w:rPr>
          <w:rFonts w:ascii="Times New Roman" w:hAnsi="Times New Roman" w:cs="Times New Roman"/>
          <w:color w:val="000000"/>
          <w:sz w:val="24"/>
          <w:szCs w:val="24"/>
        </w:rPr>
        <w:t xml:space="preserve"> </w:t>
      </w:r>
      <w:proofErr w:type="gramStart"/>
      <w:r w:rsidRPr="008E17D6">
        <w:rPr>
          <w:rFonts w:ascii="Times New Roman" w:hAnsi="Times New Roman" w:cs="Times New Roman"/>
          <w:color w:val="000000"/>
          <w:sz w:val="24"/>
          <w:szCs w:val="24"/>
        </w:rPr>
        <w:t xml:space="preserve">2 </w:t>
      </w:r>
      <w:proofErr w:type="spellStart"/>
      <w:r w:rsidRPr="008E17D6">
        <w:rPr>
          <w:rFonts w:ascii="Times New Roman" w:hAnsi="Times New Roman" w:cs="Times New Roman"/>
          <w:color w:val="000000"/>
          <w:sz w:val="24"/>
          <w:szCs w:val="24"/>
        </w:rPr>
        <w:t>nci</w:t>
      </w:r>
      <w:proofErr w:type="spellEnd"/>
      <w:proofErr w:type="gramEnd"/>
      <w:r w:rsidRPr="008E17D6">
        <w:rPr>
          <w:rFonts w:ascii="Times New Roman" w:hAnsi="Times New Roman" w:cs="Times New Roman"/>
          <w:color w:val="000000"/>
          <w:sz w:val="24"/>
          <w:szCs w:val="24"/>
        </w:rPr>
        <w:t xml:space="preserve"> maddesi uyarınca teknik dosyada beyan edilen değerler, uygulanabilir hallerde, bu değerleri hesaplamak için kullanılan değerler, imalatçı veya ithalatçı lehine, aynı Yönetmeliğin Ek-</w:t>
      </w:r>
      <w:proofErr w:type="spellStart"/>
      <w:r w:rsidRPr="008E17D6">
        <w:rPr>
          <w:rFonts w:ascii="Times New Roman" w:hAnsi="Times New Roman" w:cs="Times New Roman"/>
          <w:color w:val="000000"/>
          <w:sz w:val="24"/>
          <w:szCs w:val="24"/>
        </w:rPr>
        <w:t>IV’ünün</w:t>
      </w:r>
      <w:proofErr w:type="spellEnd"/>
      <w:r w:rsidRPr="008E17D6">
        <w:rPr>
          <w:rFonts w:ascii="Times New Roman" w:hAnsi="Times New Roman" w:cs="Times New Roman"/>
          <w:color w:val="000000"/>
          <w:sz w:val="24"/>
          <w:szCs w:val="24"/>
        </w:rPr>
        <w:t xml:space="preserve"> (f) bendi uyarınca yapılan ilgili ölçümlerin sonuçlarından daha olumlu olmazsa ve,</w:t>
      </w:r>
      <w:bookmarkStart w:id="3" w:name="bookmark244"/>
      <w:bookmarkEnd w:id="3"/>
    </w:p>
    <w:p w14:paraId="6C13F353" w14:textId="60AC036D" w:rsidR="008E17D6" w:rsidRPr="008E17D6" w:rsidRDefault="008E17D6" w:rsidP="008E17D6">
      <w:pPr>
        <w:pStyle w:val="Gvdemetni0"/>
        <w:spacing w:after="0"/>
        <w:ind w:firstLine="426"/>
        <w:jc w:val="both"/>
        <w:rPr>
          <w:rFonts w:ascii="Times New Roman" w:hAnsi="Times New Roman" w:cs="Times New Roman"/>
          <w:color w:val="000000"/>
          <w:sz w:val="24"/>
          <w:szCs w:val="24"/>
        </w:rPr>
      </w:pPr>
      <w:r w:rsidRPr="008E17D6">
        <w:rPr>
          <w:rFonts w:ascii="Times New Roman" w:hAnsi="Times New Roman" w:cs="Times New Roman"/>
          <w:color w:val="000000"/>
          <w:sz w:val="24"/>
          <w:szCs w:val="24"/>
        </w:rPr>
        <w:t>(b) Beyan edilen değerler, bu Tebliğin tüm gerekliliklerini karşılarsa ve imalatçı veya ithalatçı tarafından talep edilen ve yayınlanan herhangi bir ürün bilgisi beyan edilen değerlerden imalatçı veya ithalatçı lehine daha olumlu değerler içermezse ve,</w:t>
      </w:r>
    </w:p>
    <w:p w14:paraId="546AB16F" w14:textId="77777777" w:rsidR="008E17D6" w:rsidRPr="008E17D6" w:rsidRDefault="008E17D6" w:rsidP="008E17D6">
      <w:pPr>
        <w:pStyle w:val="Gvdemetni0"/>
        <w:spacing w:after="0"/>
        <w:ind w:firstLine="426"/>
        <w:jc w:val="both"/>
        <w:rPr>
          <w:rFonts w:ascii="Times New Roman" w:hAnsi="Times New Roman" w:cs="Times New Roman"/>
          <w:color w:val="000000"/>
          <w:sz w:val="24"/>
          <w:szCs w:val="24"/>
        </w:rPr>
      </w:pPr>
      <w:r w:rsidRPr="008E17D6">
        <w:rPr>
          <w:rFonts w:ascii="Times New Roman" w:hAnsi="Times New Roman" w:cs="Times New Roman"/>
          <w:sz w:val="24"/>
          <w:szCs w:val="24"/>
        </w:rPr>
        <w:t>(c) Bakanlık, modelin birimini veya imalatçının sunucunun bir sunucu ürün ailesini temsil ettiğini beyan etmesi durumda alternatif olarak düşük seviye performans yapılandırmasını veya yüksek seviye performans yapılandırmasını test ettiğinde, belirlenen değerler (test sırasında ölçülen ilgili parametrelerin değerleri ve bu ölçümlerden hesaplanan değerler) Tablo 7’de verilen ilgili doğrulama toleransları ile uyumlu olursa.</w:t>
      </w:r>
      <w:bookmarkStart w:id="4" w:name="bookmark245"/>
      <w:bookmarkEnd w:id="4"/>
    </w:p>
    <w:p w14:paraId="1C25D9F3" w14:textId="77777777" w:rsidR="008E17D6" w:rsidRPr="008E17D6" w:rsidRDefault="008E17D6" w:rsidP="008E17D6">
      <w:pPr>
        <w:pStyle w:val="Gvdemetni0"/>
        <w:spacing w:after="0"/>
        <w:ind w:firstLine="426"/>
        <w:jc w:val="both"/>
        <w:rPr>
          <w:rFonts w:ascii="Times New Roman" w:hAnsi="Times New Roman" w:cs="Times New Roman"/>
          <w:color w:val="000000"/>
          <w:sz w:val="24"/>
          <w:szCs w:val="24"/>
        </w:rPr>
      </w:pPr>
      <w:r w:rsidRPr="008E17D6">
        <w:rPr>
          <w:rFonts w:ascii="Times New Roman" w:hAnsi="Times New Roman" w:cs="Times New Roman"/>
          <w:color w:val="000000" w:themeColor="text1"/>
          <w:sz w:val="24"/>
          <w:szCs w:val="24"/>
        </w:rPr>
        <w:t>(</w:t>
      </w:r>
      <w:proofErr w:type="gramStart"/>
      <w:r w:rsidRPr="008E17D6">
        <w:rPr>
          <w:rFonts w:ascii="Times New Roman" w:hAnsi="Times New Roman" w:cs="Times New Roman"/>
          <w:color w:val="000000" w:themeColor="text1"/>
          <w:sz w:val="24"/>
          <w:szCs w:val="24"/>
        </w:rPr>
        <w:t>ç</w:t>
      </w:r>
      <w:proofErr w:type="gramEnd"/>
      <w:r w:rsidRPr="008E17D6">
        <w:rPr>
          <w:rFonts w:ascii="Times New Roman" w:hAnsi="Times New Roman" w:cs="Times New Roman"/>
          <w:color w:val="000000" w:themeColor="text1"/>
          <w:sz w:val="24"/>
          <w:szCs w:val="24"/>
        </w:rPr>
        <w:t>) Bakanlık, modelin birimini kontrol ettiğinde, Ek-</w:t>
      </w:r>
      <w:proofErr w:type="spellStart"/>
      <w:r w:rsidRPr="008E17D6">
        <w:rPr>
          <w:rFonts w:ascii="Times New Roman" w:hAnsi="Times New Roman" w:cs="Times New Roman"/>
          <w:color w:val="000000" w:themeColor="text1"/>
          <w:sz w:val="24"/>
          <w:szCs w:val="24"/>
        </w:rPr>
        <w:t>II'nin</w:t>
      </w:r>
      <w:proofErr w:type="spellEnd"/>
      <w:r w:rsidRPr="008E17D6">
        <w:rPr>
          <w:rFonts w:ascii="Times New Roman" w:hAnsi="Times New Roman" w:cs="Times New Roman"/>
          <w:color w:val="000000" w:themeColor="text1"/>
          <w:sz w:val="24"/>
          <w:szCs w:val="24"/>
        </w:rPr>
        <w:t xml:space="preserve"> 3.3 üncü maddesindeki kaynak verimliliği gerekliliklerine ve Ek-</w:t>
      </w:r>
      <w:proofErr w:type="spellStart"/>
      <w:r w:rsidRPr="008E17D6">
        <w:rPr>
          <w:rFonts w:ascii="Times New Roman" w:hAnsi="Times New Roman" w:cs="Times New Roman"/>
          <w:color w:val="000000" w:themeColor="text1"/>
          <w:sz w:val="24"/>
          <w:szCs w:val="24"/>
        </w:rPr>
        <w:t>II'nin</w:t>
      </w:r>
      <w:proofErr w:type="spellEnd"/>
      <w:r w:rsidRPr="008E17D6">
        <w:rPr>
          <w:rFonts w:ascii="Times New Roman" w:hAnsi="Times New Roman" w:cs="Times New Roman"/>
          <w:color w:val="000000" w:themeColor="text1"/>
          <w:sz w:val="24"/>
          <w:szCs w:val="24"/>
        </w:rPr>
        <w:t xml:space="preserve"> 3.1 veya 3.2 </w:t>
      </w:r>
      <w:proofErr w:type="spellStart"/>
      <w:r w:rsidRPr="008E17D6">
        <w:rPr>
          <w:rFonts w:ascii="Times New Roman" w:hAnsi="Times New Roman" w:cs="Times New Roman"/>
          <w:color w:val="000000" w:themeColor="text1"/>
          <w:sz w:val="24"/>
          <w:szCs w:val="24"/>
        </w:rPr>
        <w:t>nci</w:t>
      </w:r>
      <w:proofErr w:type="spellEnd"/>
      <w:r w:rsidRPr="008E17D6">
        <w:rPr>
          <w:rFonts w:ascii="Times New Roman" w:hAnsi="Times New Roman" w:cs="Times New Roman"/>
          <w:color w:val="000000" w:themeColor="text1"/>
          <w:sz w:val="24"/>
          <w:szCs w:val="24"/>
        </w:rPr>
        <w:t xml:space="preserve"> maddesindeki bilgi gerekliliklerine uygunsa.</w:t>
      </w:r>
    </w:p>
    <w:p w14:paraId="732704F5" w14:textId="77777777" w:rsidR="008E17D6" w:rsidRPr="008E17D6" w:rsidRDefault="008E17D6" w:rsidP="008E17D6">
      <w:pPr>
        <w:pStyle w:val="Gvdemetni0"/>
        <w:numPr>
          <w:ilvl w:val="0"/>
          <w:numId w:val="4"/>
        </w:numPr>
        <w:spacing w:after="0"/>
        <w:ind w:left="426" w:hanging="426"/>
        <w:jc w:val="both"/>
        <w:rPr>
          <w:rFonts w:ascii="Times New Roman" w:hAnsi="Times New Roman" w:cs="Times New Roman"/>
          <w:color w:val="000000"/>
          <w:sz w:val="24"/>
          <w:szCs w:val="24"/>
        </w:rPr>
      </w:pPr>
      <w:r w:rsidRPr="008E17D6">
        <w:rPr>
          <w:rFonts w:ascii="Times New Roman" w:hAnsi="Times New Roman" w:cs="Times New Roman"/>
          <w:color w:val="000000" w:themeColor="text1"/>
          <w:sz w:val="24"/>
          <w:szCs w:val="24"/>
        </w:rPr>
        <w:t xml:space="preserve">Bu </w:t>
      </w:r>
      <w:proofErr w:type="spellStart"/>
      <w:r w:rsidRPr="008E17D6">
        <w:rPr>
          <w:rFonts w:ascii="Times New Roman" w:hAnsi="Times New Roman" w:cs="Times New Roman"/>
          <w:color w:val="000000" w:themeColor="text1"/>
          <w:sz w:val="24"/>
          <w:szCs w:val="24"/>
        </w:rPr>
        <w:t>Ek’in</w:t>
      </w:r>
      <w:proofErr w:type="spellEnd"/>
      <w:r w:rsidRPr="008E17D6">
        <w:rPr>
          <w:rFonts w:ascii="Times New Roman" w:hAnsi="Times New Roman" w:cs="Times New Roman"/>
          <w:color w:val="000000" w:themeColor="text1"/>
          <w:sz w:val="24"/>
          <w:szCs w:val="24"/>
        </w:rPr>
        <w:t xml:space="preserve"> </w:t>
      </w:r>
      <w:proofErr w:type="gramStart"/>
      <w:r w:rsidRPr="008E17D6">
        <w:rPr>
          <w:rFonts w:ascii="Times New Roman" w:hAnsi="Times New Roman" w:cs="Times New Roman"/>
          <w:color w:val="000000" w:themeColor="text1"/>
          <w:sz w:val="24"/>
          <w:szCs w:val="24"/>
        </w:rPr>
        <w:t xml:space="preserve">2 </w:t>
      </w:r>
      <w:proofErr w:type="spellStart"/>
      <w:r w:rsidRPr="008E17D6">
        <w:rPr>
          <w:rFonts w:ascii="Times New Roman" w:hAnsi="Times New Roman" w:cs="Times New Roman"/>
          <w:color w:val="000000" w:themeColor="text1"/>
          <w:sz w:val="24"/>
          <w:szCs w:val="24"/>
        </w:rPr>
        <w:t>nci</w:t>
      </w:r>
      <w:proofErr w:type="spellEnd"/>
      <w:proofErr w:type="gramEnd"/>
      <w:r w:rsidRPr="008E17D6">
        <w:rPr>
          <w:rFonts w:ascii="Times New Roman" w:hAnsi="Times New Roman" w:cs="Times New Roman"/>
          <w:color w:val="000000" w:themeColor="text1"/>
          <w:sz w:val="24"/>
          <w:szCs w:val="24"/>
        </w:rPr>
        <w:t xml:space="preserve"> maddesinin (a), (b) veya (ç) bentlerinde belirtilen sonuçlar elde edilemediği takdirde, model ve aynı ürün bilgisinin kapsadığı bütün model yapılandırmalarının (bu Tebliğ’in Ek-</w:t>
      </w:r>
      <w:proofErr w:type="spellStart"/>
      <w:r w:rsidRPr="008E17D6">
        <w:rPr>
          <w:rFonts w:ascii="Times New Roman" w:hAnsi="Times New Roman" w:cs="Times New Roman"/>
          <w:color w:val="000000" w:themeColor="text1"/>
          <w:sz w:val="24"/>
          <w:szCs w:val="24"/>
        </w:rPr>
        <w:t>II’sinin</w:t>
      </w:r>
      <w:proofErr w:type="spellEnd"/>
      <w:r w:rsidRPr="008E17D6">
        <w:rPr>
          <w:rFonts w:ascii="Times New Roman" w:hAnsi="Times New Roman" w:cs="Times New Roman"/>
          <w:color w:val="000000" w:themeColor="text1"/>
          <w:sz w:val="24"/>
          <w:szCs w:val="24"/>
        </w:rPr>
        <w:t xml:space="preserve"> 3.1 inci maddesinin (p) bendi) bu Tebliğe uygun olmadığı kabul edilir.</w:t>
      </w:r>
    </w:p>
    <w:p w14:paraId="3AF6285C" w14:textId="420C4F21" w:rsidR="008E17D6" w:rsidRPr="008E17D6" w:rsidRDefault="008E17D6" w:rsidP="008E17D6">
      <w:pPr>
        <w:pStyle w:val="Gvdemetni0"/>
        <w:numPr>
          <w:ilvl w:val="0"/>
          <w:numId w:val="4"/>
        </w:numPr>
        <w:spacing w:after="0"/>
        <w:ind w:left="426" w:hanging="426"/>
        <w:jc w:val="both"/>
        <w:rPr>
          <w:rFonts w:ascii="Times New Roman" w:hAnsi="Times New Roman" w:cs="Times New Roman"/>
          <w:color w:val="000000"/>
          <w:sz w:val="24"/>
          <w:szCs w:val="24"/>
        </w:rPr>
      </w:pPr>
      <w:r w:rsidRPr="008E17D6">
        <w:rPr>
          <w:rFonts w:ascii="Times New Roman" w:hAnsi="Times New Roman" w:cs="Times New Roman"/>
          <w:sz w:val="24"/>
          <w:szCs w:val="24"/>
        </w:rPr>
        <w:t xml:space="preserve">Bu </w:t>
      </w:r>
      <w:proofErr w:type="spellStart"/>
      <w:r w:rsidRPr="008E17D6">
        <w:rPr>
          <w:rFonts w:ascii="Times New Roman" w:hAnsi="Times New Roman" w:cs="Times New Roman"/>
          <w:sz w:val="24"/>
          <w:szCs w:val="24"/>
        </w:rPr>
        <w:t>Ek’in</w:t>
      </w:r>
      <w:proofErr w:type="spellEnd"/>
      <w:r w:rsidRPr="008E17D6">
        <w:rPr>
          <w:rFonts w:ascii="Times New Roman" w:hAnsi="Times New Roman" w:cs="Times New Roman"/>
          <w:sz w:val="24"/>
          <w:szCs w:val="24"/>
        </w:rPr>
        <w:t xml:space="preserve"> </w:t>
      </w:r>
      <w:proofErr w:type="gramStart"/>
      <w:r w:rsidRPr="008E17D6">
        <w:rPr>
          <w:rFonts w:ascii="Times New Roman" w:hAnsi="Times New Roman" w:cs="Times New Roman"/>
          <w:sz w:val="24"/>
          <w:szCs w:val="24"/>
        </w:rPr>
        <w:t xml:space="preserve">2 </w:t>
      </w:r>
      <w:proofErr w:type="spellStart"/>
      <w:r w:rsidRPr="008E17D6">
        <w:rPr>
          <w:rFonts w:ascii="Times New Roman" w:hAnsi="Times New Roman" w:cs="Times New Roman"/>
          <w:sz w:val="24"/>
          <w:szCs w:val="24"/>
        </w:rPr>
        <w:t>nci</w:t>
      </w:r>
      <w:proofErr w:type="spellEnd"/>
      <w:proofErr w:type="gramEnd"/>
      <w:r w:rsidRPr="008E17D6">
        <w:rPr>
          <w:rFonts w:ascii="Times New Roman" w:hAnsi="Times New Roman" w:cs="Times New Roman"/>
          <w:sz w:val="24"/>
          <w:szCs w:val="24"/>
        </w:rPr>
        <w:t xml:space="preserve"> maddesinin (c) bendinde belirtilen sonucun elde edilememesi halinde;</w:t>
      </w:r>
    </w:p>
    <w:p w14:paraId="107726EB" w14:textId="1333059B" w:rsidR="008E17D6" w:rsidRPr="008E17D6" w:rsidRDefault="00655733" w:rsidP="008E17D6">
      <w:pPr>
        <w:pStyle w:val="Gvdemetni0"/>
        <w:numPr>
          <w:ilvl w:val="0"/>
          <w:numId w:val="5"/>
        </w:numPr>
        <w:spacing w:after="0"/>
        <w:jc w:val="both"/>
        <w:rPr>
          <w:rFonts w:ascii="Times New Roman" w:hAnsi="Times New Roman" w:cs="Times New Roman"/>
          <w:sz w:val="24"/>
          <w:szCs w:val="24"/>
        </w:rPr>
      </w:pPr>
      <w:bookmarkStart w:id="5" w:name="bookmark247"/>
      <w:bookmarkEnd w:id="5"/>
      <w:r>
        <w:rPr>
          <w:rFonts w:ascii="Times New Roman" w:hAnsi="Times New Roman" w:cs="Times New Roman"/>
          <w:sz w:val="24"/>
          <w:szCs w:val="24"/>
        </w:rPr>
        <w:t>Y</w:t>
      </w:r>
      <w:r w:rsidR="008E17D6" w:rsidRPr="008E17D6">
        <w:rPr>
          <w:rFonts w:ascii="Times New Roman" w:hAnsi="Times New Roman" w:cs="Times New Roman"/>
          <w:sz w:val="24"/>
          <w:szCs w:val="24"/>
        </w:rPr>
        <w:t>ılda 5 adetten daha az sayıda üretilen bir sunucu ürün ailesine ait modeller veya model yapılandırmaları için,</w:t>
      </w:r>
      <w:r>
        <w:rPr>
          <w:rFonts w:ascii="Times New Roman" w:hAnsi="Times New Roman" w:cs="Times New Roman"/>
          <w:sz w:val="24"/>
          <w:szCs w:val="24"/>
        </w:rPr>
        <w:t xml:space="preserve"> </w:t>
      </w:r>
      <w:r w:rsidR="008E17D6" w:rsidRPr="008E17D6">
        <w:rPr>
          <w:rFonts w:ascii="Times New Roman" w:hAnsi="Times New Roman" w:cs="Times New Roman"/>
          <w:sz w:val="24"/>
          <w:szCs w:val="24"/>
        </w:rPr>
        <w:t xml:space="preserve">aynı ürün bilgisinin kapsadığı model ve bütün model </w:t>
      </w:r>
      <w:r w:rsidR="008E17D6" w:rsidRPr="008E17D6">
        <w:rPr>
          <w:rFonts w:ascii="Times New Roman" w:hAnsi="Times New Roman" w:cs="Times New Roman"/>
          <w:sz w:val="24"/>
          <w:szCs w:val="24"/>
        </w:rPr>
        <w:lastRenderedPageBreak/>
        <w:t>yapılandırmalarının (bu Tebliğin Ek-</w:t>
      </w:r>
      <w:proofErr w:type="spellStart"/>
      <w:r w:rsidR="008E17D6" w:rsidRPr="008E17D6">
        <w:rPr>
          <w:rFonts w:ascii="Times New Roman" w:hAnsi="Times New Roman" w:cs="Times New Roman"/>
          <w:sz w:val="24"/>
          <w:szCs w:val="24"/>
        </w:rPr>
        <w:t>II’sinin</w:t>
      </w:r>
      <w:proofErr w:type="spellEnd"/>
      <w:r w:rsidR="008E17D6" w:rsidRPr="008E17D6">
        <w:rPr>
          <w:rFonts w:ascii="Times New Roman" w:hAnsi="Times New Roman" w:cs="Times New Roman"/>
          <w:sz w:val="24"/>
          <w:szCs w:val="24"/>
        </w:rPr>
        <w:t xml:space="preserve"> 3.1 inci maddesinin (p) bendine göre) bu Tebliğe uygun olmadığı kabul edilir.</w:t>
      </w:r>
      <w:bookmarkStart w:id="6" w:name="bookmark248"/>
      <w:bookmarkEnd w:id="6"/>
    </w:p>
    <w:p w14:paraId="461CC283" w14:textId="43B6073F" w:rsidR="008E17D6" w:rsidRPr="008E17D6" w:rsidRDefault="00655733" w:rsidP="008E17D6">
      <w:pPr>
        <w:pStyle w:val="Gvdemetni0"/>
        <w:numPr>
          <w:ilvl w:val="0"/>
          <w:numId w:val="5"/>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Y</w:t>
      </w:r>
      <w:r w:rsidR="008E17D6" w:rsidRPr="008E17D6">
        <w:rPr>
          <w:rFonts w:ascii="Times New Roman" w:hAnsi="Times New Roman" w:cs="Times New Roman"/>
          <w:color w:val="000000" w:themeColor="text1"/>
          <w:sz w:val="24"/>
          <w:szCs w:val="24"/>
        </w:rPr>
        <w:t>ılda beş veya daha fazla sayıda üretilen modeller için, Bakanlık aynı modelden üç ek birim seçer veya imalatçının, ithalatçının veya yetkili temsilcinin sunucunun bir sunucu ürün ailesini temsil ettiğini beyan etmesi halinde alternatif olarak hem düşük seviye performans yapılandırmasından hem de yüksek seviye performans yapılandırmasından test için birer birim seçer</w:t>
      </w:r>
      <w:r w:rsidR="008E17D6" w:rsidRPr="008E17D6">
        <w:rPr>
          <w:rFonts w:ascii="Times New Roman" w:hAnsi="Times New Roman" w:cs="Times New Roman"/>
          <w:sz w:val="24"/>
          <w:szCs w:val="24"/>
        </w:rPr>
        <w:t>.</w:t>
      </w:r>
      <w:bookmarkStart w:id="7" w:name="bookmark249"/>
      <w:bookmarkEnd w:id="7"/>
    </w:p>
    <w:p w14:paraId="585EFDD2" w14:textId="77777777" w:rsidR="008E17D6" w:rsidRPr="008E17D6" w:rsidRDefault="008E17D6" w:rsidP="008E17D6">
      <w:pPr>
        <w:pStyle w:val="Gvdemetni0"/>
        <w:numPr>
          <w:ilvl w:val="0"/>
          <w:numId w:val="4"/>
        </w:numPr>
        <w:spacing w:after="0"/>
        <w:ind w:left="426" w:hanging="426"/>
        <w:jc w:val="both"/>
        <w:rPr>
          <w:rFonts w:ascii="Times New Roman" w:hAnsi="Times New Roman" w:cs="Times New Roman"/>
          <w:sz w:val="24"/>
          <w:szCs w:val="24"/>
        </w:rPr>
      </w:pPr>
      <w:r w:rsidRPr="008E17D6">
        <w:rPr>
          <w:rFonts w:ascii="Times New Roman" w:hAnsi="Times New Roman" w:cs="Times New Roman"/>
          <w:sz w:val="24"/>
          <w:szCs w:val="24"/>
        </w:rPr>
        <w:t xml:space="preserve">Bu </w:t>
      </w:r>
      <w:proofErr w:type="spellStart"/>
      <w:r w:rsidRPr="008E17D6">
        <w:rPr>
          <w:rFonts w:ascii="Times New Roman" w:hAnsi="Times New Roman" w:cs="Times New Roman"/>
          <w:sz w:val="24"/>
          <w:szCs w:val="24"/>
        </w:rPr>
        <w:t>Ek’in</w:t>
      </w:r>
      <w:proofErr w:type="spellEnd"/>
      <w:r w:rsidRPr="008E17D6">
        <w:rPr>
          <w:rFonts w:ascii="Times New Roman" w:hAnsi="Times New Roman" w:cs="Times New Roman"/>
          <w:sz w:val="24"/>
          <w:szCs w:val="24"/>
        </w:rPr>
        <w:t xml:space="preserve"> </w:t>
      </w:r>
      <w:proofErr w:type="gramStart"/>
      <w:r w:rsidRPr="008E17D6">
        <w:rPr>
          <w:rFonts w:ascii="Times New Roman" w:hAnsi="Times New Roman" w:cs="Times New Roman"/>
          <w:sz w:val="24"/>
          <w:szCs w:val="24"/>
        </w:rPr>
        <w:t>4 üncü</w:t>
      </w:r>
      <w:proofErr w:type="gramEnd"/>
      <w:r w:rsidRPr="008E17D6">
        <w:rPr>
          <w:rFonts w:ascii="Times New Roman" w:hAnsi="Times New Roman" w:cs="Times New Roman"/>
          <w:sz w:val="24"/>
          <w:szCs w:val="24"/>
        </w:rPr>
        <w:t xml:space="preserve"> maddesinin (b) bendinde belirtilen birimler için, belirlenen değerlerin aritmetik ortalamasının Tablo 7'de verilen ilgili doğrulama toleranslarına uygun olması durumunda, model veya model yapılandırmasının uygulanabilir gerekliliklere uygun olduğu kabul edilir.</w:t>
      </w:r>
    </w:p>
    <w:p w14:paraId="4F3C4026" w14:textId="3940CBB0" w:rsidR="008E17D6" w:rsidRPr="008E17D6" w:rsidRDefault="008E17D6" w:rsidP="008E17D6">
      <w:pPr>
        <w:pStyle w:val="Gvdemetni0"/>
        <w:numPr>
          <w:ilvl w:val="0"/>
          <w:numId w:val="4"/>
        </w:numPr>
        <w:spacing w:after="0"/>
        <w:ind w:left="426" w:hanging="426"/>
        <w:jc w:val="both"/>
        <w:rPr>
          <w:rFonts w:ascii="Times New Roman" w:hAnsi="Times New Roman" w:cs="Times New Roman"/>
          <w:sz w:val="24"/>
          <w:szCs w:val="24"/>
        </w:rPr>
      </w:pPr>
      <w:r w:rsidRPr="008E17D6">
        <w:rPr>
          <w:rFonts w:ascii="Times New Roman" w:hAnsi="Times New Roman" w:cs="Times New Roman"/>
          <w:sz w:val="24"/>
          <w:szCs w:val="24"/>
        </w:rPr>
        <w:t xml:space="preserve">Bu </w:t>
      </w:r>
      <w:proofErr w:type="spellStart"/>
      <w:r w:rsidRPr="008E17D6">
        <w:rPr>
          <w:rFonts w:ascii="Times New Roman" w:hAnsi="Times New Roman" w:cs="Times New Roman"/>
          <w:sz w:val="24"/>
          <w:szCs w:val="24"/>
        </w:rPr>
        <w:t>Ek’in</w:t>
      </w:r>
      <w:proofErr w:type="spellEnd"/>
      <w:r w:rsidRPr="008E17D6">
        <w:rPr>
          <w:rFonts w:ascii="Times New Roman" w:hAnsi="Times New Roman" w:cs="Times New Roman"/>
          <w:sz w:val="24"/>
          <w:szCs w:val="24"/>
        </w:rPr>
        <w:t xml:space="preserve"> 5 inci maddesinde belirtilen sonucun elde edilememesi halinde, modelin ve aynı ürün bilgisinin kapsadığı bütün model yapılandırmalarının (Ek-</w:t>
      </w:r>
      <w:proofErr w:type="spellStart"/>
      <w:r w:rsidRPr="008E17D6">
        <w:rPr>
          <w:rFonts w:ascii="Times New Roman" w:hAnsi="Times New Roman" w:cs="Times New Roman"/>
          <w:sz w:val="24"/>
          <w:szCs w:val="24"/>
        </w:rPr>
        <w:t>II’nin</w:t>
      </w:r>
      <w:proofErr w:type="spellEnd"/>
      <w:r w:rsidRPr="008E17D6">
        <w:rPr>
          <w:rFonts w:ascii="Times New Roman" w:hAnsi="Times New Roman" w:cs="Times New Roman"/>
          <w:sz w:val="24"/>
          <w:szCs w:val="24"/>
        </w:rPr>
        <w:t xml:space="preserve"> 3.1 inci maddesinin (p) bendine göre) bu Tebliğe uygun olmadığı kabul edilir.</w:t>
      </w:r>
    </w:p>
    <w:p w14:paraId="5575C9FF" w14:textId="004FE61C" w:rsidR="008E17D6" w:rsidRPr="008E17D6" w:rsidRDefault="008E17D6" w:rsidP="008E17D6">
      <w:pPr>
        <w:pStyle w:val="Gvdemetni0"/>
        <w:numPr>
          <w:ilvl w:val="0"/>
          <w:numId w:val="4"/>
        </w:numPr>
        <w:spacing w:after="0"/>
        <w:ind w:left="426" w:hanging="426"/>
        <w:jc w:val="both"/>
        <w:rPr>
          <w:rFonts w:ascii="Times New Roman" w:hAnsi="Times New Roman" w:cs="Times New Roman"/>
          <w:sz w:val="24"/>
          <w:szCs w:val="24"/>
        </w:rPr>
      </w:pPr>
      <w:r w:rsidRPr="008E17D6">
        <w:rPr>
          <w:rFonts w:ascii="Times New Roman" w:hAnsi="Times New Roman" w:cs="Times New Roman"/>
          <w:sz w:val="24"/>
          <w:szCs w:val="24"/>
        </w:rPr>
        <w:t xml:space="preserve">Bakanlık, bu </w:t>
      </w:r>
      <w:proofErr w:type="spellStart"/>
      <w:r w:rsidRPr="008E17D6">
        <w:rPr>
          <w:rFonts w:ascii="Times New Roman" w:hAnsi="Times New Roman" w:cs="Times New Roman"/>
          <w:sz w:val="24"/>
          <w:szCs w:val="24"/>
        </w:rPr>
        <w:t>Ek’in</w:t>
      </w:r>
      <w:proofErr w:type="spellEnd"/>
      <w:r w:rsidRPr="008E17D6">
        <w:rPr>
          <w:rFonts w:ascii="Times New Roman" w:hAnsi="Times New Roman" w:cs="Times New Roman"/>
          <w:sz w:val="24"/>
          <w:szCs w:val="24"/>
        </w:rPr>
        <w:t xml:space="preserve"> </w:t>
      </w:r>
      <w:proofErr w:type="gramStart"/>
      <w:r w:rsidRPr="008E17D6">
        <w:rPr>
          <w:rFonts w:ascii="Times New Roman" w:hAnsi="Times New Roman" w:cs="Times New Roman"/>
          <w:sz w:val="24"/>
          <w:szCs w:val="24"/>
        </w:rPr>
        <w:t>3 üncü</w:t>
      </w:r>
      <w:proofErr w:type="gramEnd"/>
      <w:r w:rsidRPr="008E17D6">
        <w:rPr>
          <w:rFonts w:ascii="Times New Roman" w:hAnsi="Times New Roman" w:cs="Times New Roman"/>
          <w:sz w:val="24"/>
          <w:szCs w:val="24"/>
        </w:rPr>
        <w:t xml:space="preserve"> maddesine, 4 üncü maddesinin (a) bendine, 6 </w:t>
      </w:r>
      <w:proofErr w:type="spellStart"/>
      <w:r w:rsidRPr="008E17D6">
        <w:rPr>
          <w:rFonts w:ascii="Times New Roman" w:hAnsi="Times New Roman" w:cs="Times New Roman"/>
          <w:sz w:val="24"/>
          <w:szCs w:val="24"/>
        </w:rPr>
        <w:t>ncı</w:t>
      </w:r>
      <w:proofErr w:type="spellEnd"/>
      <w:r w:rsidRPr="008E17D6">
        <w:rPr>
          <w:rFonts w:ascii="Times New Roman" w:hAnsi="Times New Roman" w:cs="Times New Roman"/>
          <w:sz w:val="24"/>
          <w:szCs w:val="24"/>
        </w:rPr>
        <w:t xml:space="preserve"> maddesine veya bu </w:t>
      </w:r>
      <w:proofErr w:type="spellStart"/>
      <w:r w:rsidRPr="008E17D6">
        <w:rPr>
          <w:rFonts w:ascii="Times New Roman" w:hAnsi="Times New Roman" w:cs="Times New Roman"/>
          <w:sz w:val="24"/>
          <w:szCs w:val="24"/>
        </w:rPr>
        <w:t>Ek’in</w:t>
      </w:r>
      <w:proofErr w:type="spellEnd"/>
      <w:r w:rsidRPr="008E17D6">
        <w:rPr>
          <w:rFonts w:ascii="Times New Roman" w:hAnsi="Times New Roman" w:cs="Times New Roman"/>
          <w:sz w:val="24"/>
          <w:szCs w:val="24"/>
        </w:rPr>
        <w:t xml:space="preserve"> ikinci paragrafına göre modelin uygunsuzluğuna dair karar alınmasından sonra gecikmeksizin, Avrupa Komisyonuna ve </w:t>
      </w:r>
      <w:r w:rsidR="007E7C0D">
        <w:rPr>
          <w:rFonts w:ascii="Times New Roman" w:hAnsi="Times New Roman" w:cs="Times New Roman"/>
          <w:sz w:val="24"/>
          <w:szCs w:val="24"/>
        </w:rPr>
        <w:t xml:space="preserve">AB </w:t>
      </w:r>
      <w:r w:rsidR="00655733">
        <w:rPr>
          <w:rFonts w:ascii="Times New Roman" w:hAnsi="Times New Roman" w:cs="Times New Roman"/>
          <w:sz w:val="24"/>
          <w:szCs w:val="24"/>
        </w:rPr>
        <w:t>ü</w:t>
      </w:r>
      <w:r w:rsidRPr="008E17D6">
        <w:rPr>
          <w:rFonts w:ascii="Times New Roman" w:hAnsi="Times New Roman" w:cs="Times New Roman"/>
          <w:sz w:val="24"/>
          <w:szCs w:val="24"/>
        </w:rPr>
        <w:t>ye</w:t>
      </w:r>
      <w:r w:rsidR="007E7C0D">
        <w:rPr>
          <w:rFonts w:ascii="Times New Roman" w:hAnsi="Times New Roman" w:cs="Times New Roman"/>
          <w:sz w:val="24"/>
          <w:szCs w:val="24"/>
        </w:rPr>
        <w:t>si</w:t>
      </w:r>
      <w:r w:rsidRPr="008E17D6">
        <w:rPr>
          <w:rFonts w:ascii="Times New Roman" w:hAnsi="Times New Roman" w:cs="Times New Roman"/>
          <w:sz w:val="24"/>
          <w:szCs w:val="24"/>
        </w:rPr>
        <w:t xml:space="preserve"> </w:t>
      </w:r>
      <w:r w:rsidR="00655733">
        <w:rPr>
          <w:rFonts w:ascii="Times New Roman" w:hAnsi="Times New Roman" w:cs="Times New Roman"/>
          <w:sz w:val="24"/>
          <w:szCs w:val="24"/>
        </w:rPr>
        <w:t>ü</w:t>
      </w:r>
      <w:r w:rsidRPr="008E17D6">
        <w:rPr>
          <w:rFonts w:ascii="Times New Roman" w:hAnsi="Times New Roman" w:cs="Times New Roman"/>
          <w:sz w:val="24"/>
          <w:szCs w:val="24"/>
        </w:rPr>
        <w:t>lkelerin ilgili otoritelerine ilgili tüm bilgileri sağlar.</w:t>
      </w:r>
    </w:p>
    <w:p w14:paraId="22D30D76" w14:textId="77777777" w:rsidR="008E17D6" w:rsidRPr="008E17D6" w:rsidRDefault="008E17D6" w:rsidP="008E17D6">
      <w:pPr>
        <w:pStyle w:val="Gvdemetni0"/>
        <w:spacing w:after="0"/>
        <w:ind w:left="426"/>
        <w:jc w:val="both"/>
        <w:rPr>
          <w:rFonts w:ascii="Times New Roman" w:hAnsi="Times New Roman" w:cs="Times New Roman"/>
          <w:sz w:val="24"/>
          <w:szCs w:val="24"/>
        </w:rPr>
      </w:pPr>
      <w:r w:rsidRPr="008E17D6">
        <w:rPr>
          <w:rFonts w:ascii="Times New Roman" w:hAnsi="Times New Roman" w:cs="Times New Roman"/>
          <w:color w:val="000000"/>
          <w:sz w:val="24"/>
          <w:szCs w:val="24"/>
        </w:rPr>
        <w:t xml:space="preserve">Bakanlık Ek- </w:t>
      </w:r>
      <w:proofErr w:type="spellStart"/>
      <w:r w:rsidRPr="008E17D6">
        <w:rPr>
          <w:rFonts w:ascii="Times New Roman" w:hAnsi="Times New Roman" w:cs="Times New Roman"/>
          <w:color w:val="000000"/>
          <w:sz w:val="24"/>
          <w:szCs w:val="24"/>
        </w:rPr>
        <w:t>III’te</w:t>
      </w:r>
      <w:proofErr w:type="spellEnd"/>
      <w:r w:rsidRPr="008E17D6">
        <w:rPr>
          <w:rFonts w:ascii="Times New Roman" w:hAnsi="Times New Roman" w:cs="Times New Roman"/>
          <w:color w:val="000000"/>
          <w:sz w:val="24"/>
          <w:szCs w:val="24"/>
        </w:rPr>
        <w:t xml:space="preserve"> belirtilen ölçüm ve hesaplama yöntemlerini kullanır.</w:t>
      </w:r>
    </w:p>
    <w:p w14:paraId="15B828D5" w14:textId="77777777" w:rsidR="008E17D6" w:rsidRPr="008E17D6" w:rsidRDefault="008E17D6" w:rsidP="008E17D6">
      <w:pPr>
        <w:pStyle w:val="Gvdemetni0"/>
        <w:spacing w:after="0"/>
        <w:ind w:left="426"/>
        <w:jc w:val="both"/>
        <w:rPr>
          <w:rFonts w:ascii="Times New Roman" w:hAnsi="Times New Roman" w:cs="Times New Roman"/>
          <w:sz w:val="24"/>
          <w:szCs w:val="24"/>
        </w:rPr>
      </w:pPr>
      <w:r w:rsidRPr="008E17D6">
        <w:rPr>
          <w:rFonts w:ascii="Times New Roman" w:hAnsi="Times New Roman" w:cs="Times New Roman"/>
          <w:color w:val="000000"/>
          <w:sz w:val="24"/>
          <w:szCs w:val="24"/>
        </w:rPr>
        <w:t xml:space="preserve">Bakanlık sadece bu </w:t>
      </w:r>
      <w:proofErr w:type="spellStart"/>
      <w:r w:rsidRPr="008E17D6">
        <w:rPr>
          <w:rFonts w:ascii="Times New Roman" w:hAnsi="Times New Roman" w:cs="Times New Roman"/>
          <w:color w:val="000000"/>
          <w:sz w:val="24"/>
          <w:szCs w:val="24"/>
        </w:rPr>
        <w:t>Ek’in</w:t>
      </w:r>
      <w:proofErr w:type="spellEnd"/>
      <w:r w:rsidRPr="008E17D6">
        <w:rPr>
          <w:rFonts w:ascii="Times New Roman" w:hAnsi="Times New Roman" w:cs="Times New Roman"/>
          <w:color w:val="000000"/>
          <w:sz w:val="24"/>
          <w:szCs w:val="24"/>
        </w:rPr>
        <w:t xml:space="preserve"> Tablo 7’sinde yer alan doğrulama toleranslarını uygular ve bu </w:t>
      </w:r>
      <w:proofErr w:type="spellStart"/>
      <w:r w:rsidRPr="008E17D6">
        <w:rPr>
          <w:rFonts w:ascii="Times New Roman" w:hAnsi="Times New Roman" w:cs="Times New Roman"/>
          <w:color w:val="000000"/>
          <w:sz w:val="24"/>
          <w:szCs w:val="24"/>
        </w:rPr>
        <w:t>Ek’te</w:t>
      </w:r>
      <w:proofErr w:type="spellEnd"/>
      <w:r w:rsidRPr="008E17D6">
        <w:rPr>
          <w:rFonts w:ascii="Times New Roman" w:hAnsi="Times New Roman" w:cs="Times New Roman"/>
          <w:color w:val="000000"/>
          <w:sz w:val="24"/>
          <w:szCs w:val="24"/>
        </w:rPr>
        <w:t xml:space="preserve"> belirtilen gereklilikler için sadece 1 ila </w:t>
      </w:r>
      <w:proofErr w:type="gramStart"/>
      <w:r w:rsidRPr="008E17D6">
        <w:rPr>
          <w:rFonts w:ascii="Times New Roman" w:hAnsi="Times New Roman" w:cs="Times New Roman"/>
          <w:color w:val="000000"/>
          <w:sz w:val="24"/>
          <w:szCs w:val="24"/>
        </w:rPr>
        <w:t xml:space="preserve">7 </w:t>
      </w:r>
      <w:proofErr w:type="spellStart"/>
      <w:r w:rsidRPr="008E17D6">
        <w:rPr>
          <w:rFonts w:ascii="Times New Roman" w:hAnsi="Times New Roman" w:cs="Times New Roman"/>
          <w:color w:val="000000"/>
          <w:sz w:val="24"/>
          <w:szCs w:val="24"/>
        </w:rPr>
        <w:t>nci</w:t>
      </w:r>
      <w:proofErr w:type="spellEnd"/>
      <w:proofErr w:type="gramEnd"/>
      <w:r w:rsidRPr="008E17D6">
        <w:rPr>
          <w:rFonts w:ascii="Times New Roman" w:hAnsi="Times New Roman" w:cs="Times New Roman"/>
          <w:color w:val="000000"/>
          <w:sz w:val="24"/>
          <w:szCs w:val="24"/>
        </w:rPr>
        <w:t xml:space="preserve"> maddelerde tanımlanan yöntemi kullanır.  Diğer herhangi bir tolerans uygulanmaz.</w:t>
      </w:r>
    </w:p>
    <w:p w14:paraId="5503395C" w14:textId="77777777" w:rsidR="008E17D6" w:rsidRPr="008E17D6" w:rsidRDefault="008E17D6" w:rsidP="008E17D6">
      <w:pPr>
        <w:pStyle w:val="ResimYazs"/>
        <w:keepNext/>
        <w:spacing w:after="0"/>
        <w:jc w:val="center"/>
        <w:rPr>
          <w:i w:val="0"/>
          <w:color w:val="auto"/>
          <w:sz w:val="24"/>
          <w:szCs w:val="24"/>
        </w:rPr>
      </w:pPr>
      <w:r w:rsidRPr="00655733">
        <w:rPr>
          <w:b/>
          <w:i w:val="0"/>
          <w:color w:val="auto"/>
          <w:sz w:val="24"/>
          <w:szCs w:val="24"/>
        </w:rPr>
        <w:t xml:space="preserve">Tablo </w:t>
      </w:r>
      <w:r w:rsidRPr="00655733">
        <w:rPr>
          <w:b/>
          <w:i w:val="0"/>
          <w:color w:val="auto"/>
          <w:sz w:val="24"/>
          <w:szCs w:val="24"/>
        </w:rPr>
        <w:fldChar w:fldCharType="begin"/>
      </w:r>
      <w:r w:rsidRPr="00655733">
        <w:rPr>
          <w:b/>
          <w:i w:val="0"/>
          <w:color w:val="auto"/>
          <w:sz w:val="24"/>
          <w:szCs w:val="24"/>
        </w:rPr>
        <w:instrText xml:space="preserve"> SEQ Tablo \* ARABIC </w:instrText>
      </w:r>
      <w:r w:rsidRPr="00655733">
        <w:rPr>
          <w:b/>
          <w:i w:val="0"/>
          <w:color w:val="auto"/>
          <w:sz w:val="24"/>
          <w:szCs w:val="24"/>
        </w:rPr>
        <w:fldChar w:fldCharType="separate"/>
      </w:r>
      <w:r w:rsidRPr="00655733">
        <w:rPr>
          <w:b/>
          <w:i w:val="0"/>
          <w:noProof/>
          <w:color w:val="auto"/>
          <w:sz w:val="24"/>
          <w:szCs w:val="24"/>
        </w:rPr>
        <w:t>7</w:t>
      </w:r>
      <w:r w:rsidRPr="00655733">
        <w:rPr>
          <w:b/>
          <w:i w:val="0"/>
          <w:color w:val="auto"/>
          <w:sz w:val="24"/>
          <w:szCs w:val="24"/>
        </w:rPr>
        <w:fldChar w:fldCharType="end"/>
      </w:r>
      <w:r w:rsidRPr="008E17D6">
        <w:rPr>
          <w:i w:val="0"/>
          <w:color w:val="auto"/>
          <w:sz w:val="24"/>
          <w:szCs w:val="24"/>
        </w:rPr>
        <w:br/>
      </w:r>
      <w:r w:rsidRPr="008E17D6">
        <w:rPr>
          <w:b/>
          <w:i w:val="0"/>
          <w:color w:val="auto"/>
          <w:sz w:val="24"/>
          <w:szCs w:val="24"/>
        </w:rPr>
        <w:t>Doğrulama Toleransları</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659"/>
        <w:gridCol w:w="5403"/>
      </w:tblGrid>
      <w:tr w:rsidR="008E17D6" w:rsidRPr="008E17D6" w14:paraId="6EBA77F5" w14:textId="77777777" w:rsidTr="007C547B">
        <w:trPr>
          <w:trHeight w:val="567"/>
          <w:jc w:val="center"/>
        </w:trPr>
        <w:tc>
          <w:tcPr>
            <w:tcW w:w="2019" w:type="pct"/>
            <w:shd w:val="clear" w:color="auto" w:fill="FFFFFF"/>
            <w:vAlign w:val="center"/>
          </w:tcPr>
          <w:p w14:paraId="77BC7149" w14:textId="77777777" w:rsidR="008E17D6" w:rsidRPr="008E17D6" w:rsidRDefault="008E17D6" w:rsidP="007956B5">
            <w:pPr>
              <w:pStyle w:val="Dier0"/>
              <w:spacing w:after="0"/>
              <w:jc w:val="center"/>
              <w:rPr>
                <w:rFonts w:ascii="Times New Roman" w:hAnsi="Times New Roman" w:cs="Times New Roman"/>
                <w:sz w:val="24"/>
                <w:szCs w:val="24"/>
              </w:rPr>
            </w:pPr>
            <w:r w:rsidRPr="008E17D6">
              <w:rPr>
                <w:rFonts w:ascii="Times New Roman" w:hAnsi="Times New Roman" w:cs="Times New Roman"/>
                <w:color w:val="000000"/>
                <w:sz w:val="24"/>
                <w:szCs w:val="24"/>
              </w:rPr>
              <w:t>Parametreler</w:t>
            </w:r>
          </w:p>
        </w:tc>
        <w:tc>
          <w:tcPr>
            <w:tcW w:w="2981" w:type="pct"/>
            <w:shd w:val="clear" w:color="auto" w:fill="FFFFFF"/>
            <w:vAlign w:val="center"/>
          </w:tcPr>
          <w:p w14:paraId="1352E8D2" w14:textId="77777777" w:rsidR="008E17D6" w:rsidRPr="008E17D6" w:rsidRDefault="008E17D6" w:rsidP="007956B5">
            <w:pPr>
              <w:pStyle w:val="Dier0"/>
              <w:spacing w:after="0"/>
              <w:jc w:val="center"/>
              <w:rPr>
                <w:rFonts w:ascii="Times New Roman" w:hAnsi="Times New Roman" w:cs="Times New Roman"/>
                <w:sz w:val="24"/>
                <w:szCs w:val="24"/>
              </w:rPr>
            </w:pPr>
            <w:r w:rsidRPr="008E17D6">
              <w:rPr>
                <w:rFonts w:ascii="Times New Roman" w:hAnsi="Times New Roman" w:cs="Times New Roman"/>
                <w:color w:val="000000"/>
                <w:sz w:val="24"/>
                <w:szCs w:val="24"/>
              </w:rPr>
              <w:t>Doğrulama toleransları</w:t>
            </w:r>
          </w:p>
        </w:tc>
      </w:tr>
      <w:tr w:rsidR="008E17D6" w:rsidRPr="008E17D6" w14:paraId="7D85E986" w14:textId="77777777" w:rsidTr="007C547B">
        <w:trPr>
          <w:trHeight w:val="567"/>
          <w:jc w:val="center"/>
        </w:trPr>
        <w:tc>
          <w:tcPr>
            <w:tcW w:w="2019" w:type="pct"/>
            <w:shd w:val="clear" w:color="auto" w:fill="FFFFFF"/>
            <w:vAlign w:val="center"/>
          </w:tcPr>
          <w:p w14:paraId="0298F0A3" w14:textId="77777777" w:rsidR="008E17D6" w:rsidRPr="008E17D6" w:rsidRDefault="008E17D6" w:rsidP="007956B5">
            <w:pPr>
              <w:pStyle w:val="Dier0"/>
              <w:spacing w:after="0"/>
              <w:rPr>
                <w:rFonts w:ascii="Times New Roman" w:hAnsi="Times New Roman" w:cs="Times New Roman"/>
                <w:sz w:val="24"/>
                <w:szCs w:val="24"/>
              </w:rPr>
            </w:pPr>
            <w:r w:rsidRPr="008E17D6">
              <w:rPr>
                <w:rFonts w:ascii="Times New Roman" w:hAnsi="Times New Roman" w:cs="Times New Roman"/>
                <w:color w:val="000000"/>
                <w:sz w:val="24"/>
                <w:szCs w:val="24"/>
              </w:rPr>
              <w:t>PSU verimliliği (%)</w:t>
            </w:r>
          </w:p>
        </w:tc>
        <w:tc>
          <w:tcPr>
            <w:tcW w:w="2981" w:type="pct"/>
            <w:shd w:val="clear" w:color="auto" w:fill="FFFFFF"/>
            <w:vAlign w:val="center"/>
          </w:tcPr>
          <w:p w14:paraId="40544FCB" w14:textId="77777777" w:rsidR="008E17D6" w:rsidRPr="008E17D6" w:rsidRDefault="008E17D6" w:rsidP="007956B5">
            <w:pPr>
              <w:pStyle w:val="Dier0"/>
              <w:spacing w:after="0"/>
              <w:rPr>
                <w:rFonts w:ascii="Times New Roman" w:hAnsi="Times New Roman" w:cs="Times New Roman"/>
                <w:sz w:val="24"/>
                <w:szCs w:val="24"/>
              </w:rPr>
            </w:pPr>
            <w:r w:rsidRPr="008E17D6">
              <w:rPr>
                <w:rFonts w:ascii="Times New Roman" w:hAnsi="Times New Roman" w:cs="Times New Roman"/>
                <w:color w:val="000000"/>
                <w:sz w:val="24"/>
                <w:szCs w:val="24"/>
              </w:rPr>
              <w:t xml:space="preserve">Belirlenen değer beyan edilen değerin </w:t>
            </w:r>
            <w:proofErr w:type="gramStart"/>
            <w:r w:rsidRPr="008E17D6">
              <w:rPr>
                <w:rFonts w:ascii="Times New Roman" w:hAnsi="Times New Roman" w:cs="Times New Roman"/>
                <w:color w:val="000000"/>
                <w:sz w:val="24"/>
                <w:szCs w:val="24"/>
              </w:rPr>
              <w:t>% 2</w:t>
            </w:r>
            <w:proofErr w:type="gramEnd"/>
            <w:r w:rsidRPr="008E17D6">
              <w:rPr>
                <w:rFonts w:ascii="Times New Roman" w:hAnsi="Times New Roman" w:cs="Times New Roman"/>
                <w:color w:val="000000"/>
                <w:sz w:val="24"/>
                <w:szCs w:val="24"/>
              </w:rPr>
              <w:t>'sinden daha az olamaz.</w:t>
            </w:r>
          </w:p>
        </w:tc>
      </w:tr>
      <w:tr w:rsidR="008E17D6" w:rsidRPr="008E17D6" w14:paraId="07284A36" w14:textId="77777777" w:rsidTr="007C547B">
        <w:trPr>
          <w:trHeight w:val="567"/>
          <w:jc w:val="center"/>
        </w:trPr>
        <w:tc>
          <w:tcPr>
            <w:tcW w:w="2019" w:type="pct"/>
            <w:shd w:val="clear" w:color="auto" w:fill="FFFFFF"/>
            <w:vAlign w:val="center"/>
          </w:tcPr>
          <w:p w14:paraId="155CB52A" w14:textId="77777777" w:rsidR="008E17D6" w:rsidRPr="008E17D6" w:rsidRDefault="008E17D6" w:rsidP="007956B5">
            <w:pPr>
              <w:pStyle w:val="Dier0"/>
              <w:spacing w:after="0"/>
              <w:rPr>
                <w:rFonts w:ascii="Times New Roman" w:hAnsi="Times New Roman" w:cs="Times New Roman"/>
                <w:sz w:val="24"/>
                <w:szCs w:val="24"/>
              </w:rPr>
            </w:pPr>
            <w:r w:rsidRPr="008E17D6">
              <w:rPr>
                <w:rFonts w:ascii="Times New Roman" w:hAnsi="Times New Roman" w:cs="Times New Roman"/>
                <w:color w:val="000000"/>
                <w:sz w:val="24"/>
                <w:szCs w:val="24"/>
              </w:rPr>
              <w:t>Güç faktörü</w:t>
            </w:r>
          </w:p>
        </w:tc>
        <w:tc>
          <w:tcPr>
            <w:tcW w:w="2981" w:type="pct"/>
            <w:shd w:val="clear" w:color="auto" w:fill="FFFFFF"/>
            <w:vAlign w:val="center"/>
          </w:tcPr>
          <w:p w14:paraId="209ECCEC" w14:textId="77777777" w:rsidR="008E17D6" w:rsidRPr="008E17D6" w:rsidRDefault="008E17D6" w:rsidP="007956B5">
            <w:pPr>
              <w:pStyle w:val="Dier0"/>
              <w:spacing w:after="0"/>
              <w:rPr>
                <w:rFonts w:ascii="Times New Roman" w:hAnsi="Times New Roman" w:cs="Times New Roman"/>
                <w:sz w:val="24"/>
                <w:szCs w:val="24"/>
              </w:rPr>
            </w:pPr>
            <w:r w:rsidRPr="008E17D6">
              <w:rPr>
                <w:rFonts w:ascii="Times New Roman" w:hAnsi="Times New Roman" w:cs="Times New Roman"/>
                <w:color w:val="000000"/>
                <w:sz w:val="24"/>
                <w:szCs w:val="24"/>
              </w:rPr>
              <w:t>Belirlenen değer beyan edilen değerin %10’undan daha az olamaz.</w:t>
            </w:r>
          </w:p>
        </w:tc>
      </w:tr>
      <w:tr w:rsidR="008E17D6" w:rsidRPr="008E17D6" w14:paraId="25278C21" w14:textId="77777777" w:rsidTr="007C547B">
        <w:trPr>
          <w:trHeight w:val="567"/>
          <w:jc w:val="center"/>
        </w:trPr>
        <w:tc>
          <w:tcPr>
            <w:tcW w:w="2019" w:type="pct"/>
            <w:shd w:val="clear" w:color="auto" w:fill="FFFFFF"/>
            <w:vAlign w:val="center"/>
          </w:tcPr>
          <w:p w14:paraId="2FB3B03E" w14:textId="77777777" w:rsidR="008E17D6" w:rsidRPr="008E17D6" w:rsidRDefault="008E17D6" w:rsidP="007956B5">
            <w:pPr>
              <w:pStyle w:val="Dier0"/>
              <w:spacing w:after="0"/>
              <w:rPr>
                <w:rFonts w:ascii="Times New Roman" w:hAnsi="Times New Roman" w:cs="Times New Roman"/>
                <w:sz w:val="24"/>
                <w:szCs w:val="24"/>
              </w:rPr>
            </w:pPr>
            <w:r w:rsidRPr="008E17D6">
              <w:rPr>
                <w:rFonts w:ascii="Times New Roman" w:hAnsi="Times New Roman" w:cs="Times New Roman"/>
                <w:color w:val="000000"/>
                <w:sz w:val="24"/>
                <w:szCs w:val="24"/>
              </w:rPr>
              <w:t xml:space="preserve">İşlevsiz durum gücü </w:t>
            </w:r>
            <w:proofErr w:type="spellStart"/>
            <w:r w:rsidRPr="008E17D6">
              <w:rPr>
                <w:rFonts w:ascii="Times New Roman" w:hAnsi="Times New Roman" w:cs="Times New Roman"/>
                <w:color w:val="000000"/>
                <w:sz w:val="24"/>
                <w:szCs w:val="24"/>
              </w:rPr>
              <w:t>P</w:t>
            </w:r>
            <w:r w:rsidRPr="008E17D6">
              <w:rPr>
                <w:rFonts w:ascii="Times New Roman" w:hAnsi="Times New Roman" w:cs="Times New Roman"/>
                <w:color w:val="000000"/>
                <w:sz w:val="24"/>
                <w:szCs w:val="24"/>
                <w:vertAlign w:val="subscript"/>
              </w:rPr>
              <w:t>idle</w:t>
            </w:r>
            <w:proofErr w:type="spellEnd"/>
            <w:r w:rsidRPr="008E17D6">
              <w:rPr>
                <w:rFonts w:ascii="Times New Roman" w:hAnsi="Times New Roman" w:cs="Times New Roman"/>
                <w:color w:val="000000"/>
                <w:sz w:val="24"/>
                <w:szCs w:val="24"/>
              </w:rPr>
              <w:t xml:space="preserve"> ve azami güç (W)</w:t>
            </w:r>
          </w:p>
        </w:tc>
        <w:tc>
          <w:tcPr>
            <w:tcW w:w="2981" w:type="pct"/>
            <w:shd w:val="clear" w:color="auto" w:fill="FFFFFF"/>
            <w:vAlign w:val="center"/>
          </w:tcPr>
          <w:p w14:paraId="1B7CFDF6" w14:textId="77777777" w:rsidR="008E17D6" w:rsidRPr="008E17D6" w:rsidRDefault="008E17D6" w:rsidP="007956B5">
            <w:pPr>
              <w:pStyle w:val="Dier0"/>
              <w:spacing w:after="0"/>
              <w:rPr>
                <w:rFonts w:ascii="Times New Roman" w:hAnsi="Times New Roman" w:cs="Times New Roman"/>
                <w:sz w:val="24"/>
                <w:szCs w:val="24"/>
              </w:rPr>
            </w:pPr>
            <w:r w:rsidRPr="008E17D6">
              <w:rPr>
                <w:rFonts w:ascii="Times New Roman" w:hAnsi="Times New Roman" w:cs="Times New Roman"/>
                <w:color w:val="000000"/>
                <w:sz w:val="24"/>
                <w:szCs w:val="24"/>
              </w:rPr>
              <w:t>Belirlenen değer beyan edilen değeri %10’dan daha fazla aşamaz.</w:t>
            </w:r>
          </w:p>
        </w:tc>
      </w:tr>
      <w:tr w:rsidR="008E17D6" w:rsidRPr="008E17D6" w14:paraId="18E7CE5F" w14:textId="77777777" w:rsidTr="007C547B">
        <w:trPr>
          <w:trHeight w:val="567"/>
          <w:jc w:val="center"/>
        </w:trPr>
        <w:tc>
          <w:tcPr>
            <w:tcW w:w="2019" w:type="pct"/>
            <w:shd w:val="clear" w:color="auto" w:fill="FFFFFF"/>
            <w:vAlign w:val="center"/>
          </w:tcPr>
          <w:p w14:paraId="79378595" w14:textId="77777777" w:rsidR="008E17D6" w:rsidRPr="008E17D6" w:rsidRDefault="008E17D6" w:rsidP="007956B5">
            <w:pPr>
              <w:pStyle w:val="Dier0"/>
              <w:spacing w:after="0"/>
              <w:rPr>
                <w:rFonts w:ascii="Times New Roman" w:hAnsi="Times New Roman" w:cs="Times New Roman"/>
                <w:sz w:val="24"/>
                <w:szCs w:val="24"/>
              </w:rPr>
            </w:pPr>
            <w:r w:rsidRPr="008E17D6">
              <w:rPr>
                <w:rFonts w:ascii="Times New Roman" w:hAnsi="Times New Roman" w:cs="Times New Roman"/>
                <w:color w:val="000000"/>
                <w:sz w:val="24"/>
                <w:szCs w:val="24"/>
              </w:rPr>
              <w:t>Etkin konum verimliliği ve etkin konum performansı</w:t>
            </w:r>
          </w:p>
        </w:tc>
        <w:tc>
          <w:tcPr>
            <w:tcW w:w="2981" w:type="pct"/>
            <w:shd w:val="clear" w:color="auto" w:fill="FFFFFF"/>
            <w:vAlign w:val="center"/>
          </w:tcPr>
          <w:p w14:paraId="620C9CCA" w14:textId="77777777" w:rsidR="008E17D6" w:rsidRPr="008E17D6" w:rsidRDefault="008E17D6" w:rsidP="007956B5">
            <w:pPr>
              <w:pStyle w:val="Dier0"/>
              <w:spacing w:after="0"/>
              <w:rPr>
                <w:rFonts w:ascii="Times New Roman" w:hAnsi="Times New Roman" w:cs="Times New Roman"/>
                <w:sz w:val="24"/>
                <w:szCs w:val="24"/>
              </w:rPr>
            </w:pPr>
            <w:r w:rsidRPr="008E17D6">
              <w:rPr>
                <w:rFonts w:ascii="Times New Roman" w:hAnsi="Times New Roman" w:cs="Times New Roman"/>
                <w:color w:val="000000"/>
                <w:sz w:val="24"/>
                <w:szCs w:val="24"/>
              </w:rPr>
              <w:t>Belirlenen değer beyan edilen değerin %10’undan daha az olamaz.</w:t>
            </w:r>
          </w:p>
        </w:tc>
      </w:tr>
    </w:tbl>
    <w:p w14:paraId="464D931B" w14:textId="47691F71" w:rsidR="008E17D6" w:rsidRPr="008E17D6" w:rsidRDefault="00C462FF" w:rsidP="008E17D6">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8DFA3EA" w14:textId="77777777" w:rsidR="008E17D6" w:rsidRDefault="008E17D6" w:rsidP="00002353">
      <w:pPr>
        <w:spacing w:after="0" w:line="240" w:lineRule="auto"/>
        <w:rPr>
          <w:rFonts w:ascii="Times New Roman" w:hAnsi="Times New Roman" w:cs="Times New Roman"/>
          <w:sz w:val="24"/>
          <w:szCs w:val="24"/>
        </w:rPr>
      </w:pPr>
    </w:p>
    <w:p w14:paraId="255694C0" w14:textId="0EFAD554" w:rsidR="00912BA9" w:rsidRDefault="00912BA9" w:rsidP="00002353">
      <w:pPr>
        <w:spacing w:after="0" w:line="240" w:lineRule="auto"/>
        <w:rPr>
          <w:rFonts w:ascii="Times New Roman" w:hAnsi="Times New Roman" w:cs="Times New Roman"/>
          <w:sz w:val="24"/>
          <w:szCs w:val="24"/>
        </w:rPr>
      </w:pPr>
    </w:p>
    <w:p w14:paraId="47D6AFA3" w14:textId="121CDBEE" w:rsidR="0003771B" w:rsidRDefault="0003771B" w:rsidP="00002353">
      <w:pPr>
        <w:spacing w:after="0" w:line="240" w:lineRule="auto"/>
        <w:rPr>
          <w:rFonts w:ascii="Times New Roman" w:hAnsi="Times New Roman" w:cs="Times New Roman"/>
          <w:sz w:val="24"/>
          <w:szCs w:val="24"/>
        </w:rPr>
      </w:pPr>
    </w:p>
    <w:p w14:paraId="782DF986" w14:textId="16CA6F23" w:rsidR="0003771B" w:rsidRDefault="0003771B" w:rsidP="00002353">
      <w:pPr>
        <w:spacing w:after="0" w:line="240" w:lineRule="auto"/>
        <w:rPr>
          <w:rFonts w:ascii="Times New Roman" w:hAnsi="Times New Roman" w:cs="Times New Roman"/>
          <w:sz w:val="24"/>
          <w:szCs w:val="24"/>
        </w:rPr>
      </w:pPr>
    </w:p>
    <w:p w14:paraId="6F164317" w14:textId="4418BE18" w:rsidR="0003771B" w:rsidRDefault="0003771B" w:rsidP="00002353">
      <w:pPr>
        <w:spacing w:after="0" w:line="240" w:lineRule="auto"/>
        <w:rPr>
          <w:rFonts w:ascii="Times New Roman" w:hAnsi="Times New Roman" w:cs="Times New Roman"/>
          <w:sz w:val="24"/>
          <w:szCs w:val="24"/>
        </w:rPr>
      </w:pPr>
    </w:p>
    <w:p w14:paraId="04417890" w14:textId="5EBAD79F" w:rsidR="0003771B" w:rsidRDefault="0003771B" w:rsidP="00002353">
      <w:pPr>
        <w:spacing w:after="0" w:line="240" w:lineRule="auto"/>
        <w:rPr>
          <w:rFonts w:ascii="Times New Roman" w:hAnsi="Times New Roman" w:cs="Times New Roman"/>
          <w:sz w:val="24"/>
          <w:szCs w:val="24"/>
        </w:rPr>
      </w:pPr>
    </w:p>
    <w:p w14:paraId="40EEC827" w14:textId="23814E65" w:rsidR="0003771B" w:rsidRDefault="0003771B" w:rsidP="00002353">
      <w:pPr>
        <w:spacing w:after="0" w:line="240" w:lineRule="auto"/>
        <w:rPr>
          <w:rFonts w:ascii="Times New Roman" w:hAnsi="Times New Roman" w:cs="Times New Roman"/>
          <w:sz w:val="24"/>
          <w:szCs w:val="24"/>
        </w:rPr>
      </w:pPr>
    </w:p>
    <w:p w14:paraId="32A94472" w14:textId="336E7E0C" w:rsidR="0003771B" w:rsidRDefault="0003771B" w:rsidP="00002353">
      <w:pPr>
        <w:spacing w:after="0" w:line="240" w:lineRule="auto"/>
        <w:rPr>
          <w:rFonts w:ascii="Times New Roman" w:hAnsi="Times New Roman" w:cs="Times New Roman"/>
          <w:sz w:val="24"/>
          <w:szCs w:val="24"/>
        </w:rPr>
      </w:pPr>
    </w:p>
    <w:p w14:paraId="30E66B60" w14:textId="12B213A0" w:rsidR="008E17D6" w:rsidRDefault="008E17D6" w:rsidP="00002353">
      <w:pPr>
        <w:spacing w:after="0" w:line="240" w:lineRule="auto"/>
        <w:rPr>
          <w:rFonts w:ascii="Times New Roman" w:hAnsi="Times New Roman" w:cs="Times New Roman"/>
          <w:sz w:val="24"/>
          <w:szCs w:val="24"/>
        </w:rPr>
      </w:pPr>
    </w:p>
    <w:p w14:paraId="54A79B1E" w14:textId="3CF6BE5E" w:rsidR="008E17D6" w:rsidRDefault="008E17D6" w:rsidP="00002353">
      <w:pPr>
        <w:spacing w:after="0" w:line="240" w:lineRule="auto"/>
        <w:rPr>
          <w:rFonts w:ascii="Times New Roman" w:hAnsi="Times New Roman" w:cs="Times New Roman"/>
          <w:sz w:val="24"/>
          <w:szCs w:val="24"/>
        </w:rPr>
      </w:pPr>
    </w:p>
    <w:p w14:paraId="60F1E846" w14:textId="3B68B440" w:rsidR="008E17D6" w:rsidRDefault="008E17D6" w:rsidP="00002353">
      <w:pPr>
        <w:spacing w:after="0" w:line="240" w:lineRule="auto"/>
        <w:rPr>
          <w:rFonts w:ascii="Times New Roman" w:hAnsi="Times New Roman" w:cs="Times New Roman"/>
          <w:sz w:val="24"/>
          <w:szCs w:val="24"/>
        </w:rPr>
      </w:pPr>
    </w:p>
    <w:p w14:paraId="3AD7C787" w14:textId="030E5C70" w:rsidR="008E17D6" w:rsidRDefault="008E17D6" w:rsidP="00002353">
      <w:pPr>
        <w:spacing w:after="0" w:line="240" w:lineRule="auto"/>
        <w:rPr>
          <w:rFonts w:ascii="Times New Roman" w:hAnsi="Times New Roman" w:cs="Times New Roman"/>
          <w:sz w:val="24"/>
          <w:szCs w:val="24"/>
        </w:rPr>
      </w:pPr>
    </w:p>
    <w:p w14:paraId="58FCF8B9" w14:textId="7BDEA859" w:rsidR="008E17D6" w:rsidRDefault="008E17D6" w:rsidP="00002353">
      <w:pPr>
        <w:spacing w:after="0" w:line="240" w:lineRule="auto"/>
        <w:rPr>
          <w:rFonts w:ascii="Times New Roman" w:hAnsi="Times New Roman" w:cs="Times New Roman"/>
          <w:sz w:val="24"/>
          <w:szCs w:val="24"/>
        </w:rPr>
      </w:pPr>
    </w:p>
    <w:p w14:paraId="27ED58B1" w14:textId="5770499A" w:rsidR="008E17D6" w:rsidRDefault="008E17D6" w:rsidP="00002353">
      <w:pPr>
        <w:spacing w:after="0" w:line="240" w:lineRule="auto"/>
        <w:rPr>
          <w:rFonts w:ascii="Times New Roman" w:hAnsi="Times New Roman" w:cs="Times New Roman"/>
          <w:sz w:val="24"/>
          <w:szCs w:val="24"/>
        </w:rPr>
      </w:pPr>
    </w:p>
    <w:p w14:paraId="09C487D8" w14:textId="539C165A" w:rsidR="008E17D6" w:rsidRDefault="008E17D6" w:rsidP="00002353">
      <w:pPr>
        <w:spacing w:after="0" w:line="240" w:lineRule="auto"/>
        <w:rPr>
          <w:rFonts w:ascii="Times New Roman" w:hAnsi="Times New Roman" w:cs="Times New Roman"/>
          <w:sz w:val="24"/>
          <w:szCs w:val="24"/>
        </w:rPr>
      </w:pPr>
    </w:p>
    <w:p w14:paraId="22BBDA23" w14:textId="77777777" w:rsidR="00912BA9" w:rsidRDefault="00912BA9" w:rsidP="00002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KARŞILAŞTIRMA CETVELİ</w:t>
      </w:r>
    </w:p>
    <w:p w14:paraId="49B0E7DD" w14:textId="1BAC23D2" w:rsidR="00912BA9" w:rsidRDefault="00912BA9" w:rsidP="00002353">
      <w:pPr>
        <w:spacing w:after="0" w:line="240" w:lineRule="auto"/>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4531"/>
        <w:gridCol w:w="4531"/>
      </w:tblGrid>
      <w:tr w:rsidR="00912BA9" w14:paraId="7ACB5703" w14:textId="77777777" w:rsidTr="00F45DEA">
        <w:tc>
          <w:tcPr>
            <w:tcW w:w="4531" w:type="dxa"/>
          </w:tcPr>
          <w:p w14:paraId="73F874D8" w14:textId="77777777" w:rsidR="00CA5481" w:rsidRPr="00BA09F9" w:rsidRDefault="00CA5481" w:rsidP="00002353">
            <w:pPr>
              <w:pStyle w:val="ortabalkbold"/>
              <w:spacing w:before="0" w:beforeAutospacing="0" w:after="0" w:afterAutospacing="0"/>
              <w:jc w:val="center"/>
              <w:rPr>
                <w:b/>
                <w:bCs/>
                <w:color w:val="000000"/>
                <w:sz w:val="20"/>
                <w:szCs w:val="20"/>
              </w:rPr>
            </w:pPr>
            <w:r w:rsidRPr="00BA09F9">
              <w:rPr>
                <w:b/>
                <w:bCs/>
                <w:color w:val="000000"/>
                <w:sz w:val="20"/>
                <w:szCs w:val="20"/>
              </w:rPr>
              <w:t>SUNUCULAR VE VERİ DEPOLAMA ÜRÜNLERİ İLE İLGİLİ ÇEVREYE</w:t>
            </w:r>
          </w:p>
          <w:p w14:paraId="1DA766E0" w14:textId="77777777" w:rsidR="00CA5481" w:rsidRPr="00BA09F9" w:rsidRDefault="00CA5481" w:rsidP="00002353">
            <w:pPr>
              <w:pStyle w:val="ortabalkbold"/>
              <w:spacing w:before="0" w:beforeAutospacing="0" w:after="0" w:afterAutospacing="0"/>
              <w:jc w:val="center"/>
              <w:rPr>
                <w:b/>
                <w:bCs/>
                <w:color w:val="000000"/>
                <w:sz w:val="20"/>
                <w:szCs w:val="20"/>
              </w:rPr>
            </w:pPr>
            <w:r w:rsidRPr="00BA09F9">
              <w:rPr>
                <w:b/>
                <w:bCs/>
                <w:color w:val="000000"/>
                <w:sz w:val="20"/>
                <w:szCs w:val="20"/>
              </w:rPr>
              <w:t>DUYARLI TASARIM GEREKLİLİKLERİNE DAİR TEBLİĞ</w:t>
            </w:r>
          </w:p>
          <w:p w14:paraId="3A226223" w14:textId="77777777" w:rsidR="00CA5481" w:rsidRPr="00BA09F9" w:rsidRDefault="00CA5481" w:rsidP="00002353">
            <w:pPr>
              <w:pStyle w:val="ortabalkbold"/>
              <w:spacing w:before="0" w:beforeAutospacing="0" w:after="0" w:afterAutospacing="0"/>
              <w:jc w:val="center"/>
              <w:rPr>
                <w:b/>
                <w:bCs/>
                <w:color w:val="000000"/>
                <w:sz w:val="20"/>
                <w:szCs w:val="20"/>
              </w:rPr>
            </w:pPr>
            <w:r w:rsidRPr="00BA09F9">
              <w:rPr>
                <w:b/>
                <w:bCs/>
                <w:color w:val="000000"/>
                <w:sz w:val="20"/>
                <w:szCs w:val="20"/>
              </w:rPr>
              <w:t>(2019/424/AB) (SGM:2021/15)</w:t>
            </w:r>
          </w:p>
          <w:p w14:paraId="1E43FE1A" w14:textId="77777777" w:rsidR="00912BA9" w:rsidRPr="00BA09F9" w:rsidRDefault="00912BA9" w:rsidP="00002353">
            <w:pPr>
              <w:rPr>
                <w:rFonts w:ascii="Times New Roman" w:hAnsi="Times New Roman" w:cs="Times New Roman"/>
              </w:rPr>
            </w:pPr>
          </w:p>
          <w:p w14:paraId="5FE64770" w14:textId="77777777" w:rsidR="00CA5481" w:rsidRPr="00BA09F9" w:rsidRDefault="00CA5481" w:rsidP="00002353">
            <w:pPr>
              <w:rPr>
                <w:rFonts w:ascii="Times New Roman" w:hAnsi="Times New Roman" w:cs="Times New Roman"/>
              </w:rPr>
            </w:pPr>
          </w:p>
          <w:p w14:paraId="2462CC1C" w14:textId="77777777" w:rsidR="00CA5481" w:rsidRPr="00BA09F9" w:rsidRDefault="00CA5481" w:rsidP="00002353">
            <w:pPr>
              <w:rPr>
                <w:rFonts w:ascii="Times New Roman" w:hAnsi="Times New Roman" w:cs="Times New Roman"/>
              </w:rPr>
            </w:pPr>
          </w:p>
          <w:p w14:paraId="2C96DF63" w14:textId="77777777" w:rsidR="00CA5481" w:rsidRPr="00BA09F9" w:rsidRDefault="00CA5481" w:rsidP="00002353">
            <w:pPr>
              <w:rPr>
                <w:rFonts w:ascii="Times New Roman" w:hAnsi="Times New Roman" w:cs="Times New Roman"/>
              </w:rPr>
            </w:pPr>
          </w:p>
          <w:p w14:paraId="5332FE33" w14:textId="77777777" w:rsidR="00CA5481" w:rsidRPr="00BA09F9" w:rsidRDefault="00CA5481" w:rsidP="00002353">
            <w:pPr>
              <w:rPr>
                <w:rFonts w:ascii="Times New Roman" w:hAnsi="Times New Roman" w:cs="Times New Roman"/>
              </w:rPr>
            </w:pPr>
          </w:p>
          <w:p w14:paraId="10AB6725" w14:textId="77777777" w:rsidR="00CA5481" w:rsidRPr="00BA09F9" w:rsidRDefault="00CA5481" w:rsidP="00002353">
            <w:pPr>
              <w:rPr>
                <w:rFonts w:ascii="Times New Roman" w:hAnsi="Times New Roman" w:cs="Times New Roman"/>
              </w:rPr>
            </w:pPr>
          </w:p>
          <w:p w14:paraId="21612582" w14:textId="77777777" w:rsidR="006A24A7" w:rsidRPr="00BA09F9" w:rsidRDefault="006A24A7" w:rsidP="00002353">
            <w:pPr>
              <w:rPr>
                <w:rFonts w:ascii="Times New Roman" w:hAnsi="Times New Roman" w:cs="Times New Roman"/>
              </w:rPr>
            </w:pPr>
          </w:p>
          <w:p w14:paraId="4A6DD292" w14:textId="77777777" w:rsidR="006A24A7" w:rsidRPr="00BA09F9" w:rsidRDefault="006A24A7" w:rsidP="00002353">
            <w:pPr>
              <w:rPr>
                <w:rFonts w:ascii="Times New Roman" w:hAnsi="Times New Roman" w:cs="Times New Roman"/>
              </w:rPr>
            </w:pPr>
          </w:p>
          <w:p w14:paraId="53F91763" w14:textId="77777777" w:rsidR="006A24A7" w:rsidRPr="00BA09F9" w:rsidRDefault="006A24A7" w:rsidP="00002353">
            <w:pPr>
              <w:rPr>
                <w:rFonts w:ascii="Times New Roman" w:hAnsi="Times New Roman" w:cs="Times New Roman"/>
              </w:rPr>
            </w:pPr>
          </w:p>
          <w:p w14:paraId="08DB925C" w14:textId="77777777" w:rsidR="006A24A7" w:rsidRPr="008A30A9" w:rsidRDefault="006A24A7" w:rsidP="00002353">
            <w:pPr>
              <w:rPr>
                <w:rFonts w:ascii="Times New Roman" w:hAnsi="Times New Roman" w:cs="Times New Roman"/>
                <w:b/>
                <w:strike/>
              </w:rPr>
            </w:pPr>
            <w:r w:rsidRPr="008A30A9">
              <w:rPr>
                <w:rFonts w:ascii="Times New Roman" w:hAnsi="Times New Roman" w:cs="Times New Roman"/>
              </w:rPr>
              <w:t>(2)</w:t>
            </w:r>
            <w:r w:rsidRPr="008A30A9">
              <w:rPr>
                <w:rFonts w:ascii="Times New Roman" w:hAnsi="Times New Roman" w:cs="Times New Roman"/>
                <w:b/>
                <w:strike/>
              </w:rPr>
              <w:t xml:space="preserve"> Enerji ile İlgili Ürünlerin Çevreye Duyarlı Tasarımına İlişkin Yönetmeliğin 10 uncu maddesi uyarınca uygunluk değerlendirmesinin amaçları bakımından, teknik dosya bu Tebliğin Ek-</w:t>
            </w:r>
            <w:proofErr w:type="spellStart"/>
            <w:r w:rsidRPr="008A30A9">
              <w:rPr>
                <w:rFonts w:ascii="Times New Roman" w:hAnsi="Times New Roman" w:cs="Times New Roman"/>
                <w:b/>
                <w:strike/>
              </w:rPr>
              <w:t>II’sinin</w:t>
            </w:r>
            <w:proofErr w:type="spellEnd"/>
            <w:r w:rsidRPr="008A30A9">
              <w:rPr>
                <w:rFonts w:ascii="Times New Roman" w:hAnsi="Times New Roman" w:cs="Times New Roman"/>
                <w:b/>
                <w:strike/>
              </w:rPr>
              <w:t xml:space="preserve"> 3.</w:t>
            </w:r>
            <w:proofErr w:type="gramStart"/>
            <w:r w:rsidRPr="008A30A9">
              <w:rPr>
                <w:rFonts w:ascii="Times New Roman" w:hAnsi="Times New Roman" w:cs="Times New Roman"/>
                <w:b/>
                <w:strike/>
              </w:rPr>
              <w:t>4 üncü</w:t>
            </w:r>
            <w:proofErr w:type="gramEnd"/>
            <w:r w:rsidRPr="008A30A9">
              <w:rPr>
                <w:rFonts w:ascii="Times New Roman" w:hAnsi="Times New Roman" w:cs="Times New Roman"/>
                <w:b/>
                <w:strike/>
              </w:rPr>
              <w:t xml:space="preserve"> maddesinde yer alan bilgileri içerir.</w:t>
            </w:r>
          </w:p>
          <w:p w14:paraId="0867F84A" w14:textId="77777777" w:rsidR="006A24A7" w:rsidRPr="008A30A9" w:rsidRDefault="006A24A7" w:rsidP="00002353">
            <w:pPr>
              <w:rPr>
                <w:rFonts w:ascii="Times New Roman" w:hAnsi="Times New Roman" w:cs="Times New Roman"/>
              </w:rPr>
            </w:pPr>
          </w:p>
          <w:p w14:paraId="5CF3866C" w14:textId="77777777" w:rsidR="00FE5686" w:rsidRPr="008A30A9" w:rsidRDefault="00FE5686" w:rsidP="00002353">
            <w:pPr>
              <w:rPr>
                <w:rFonts w:ascii="Times New Roman" w:hAnsi="Times New Roman" w:cs="Times New Roman"/>
              </w:rPr>
            </w:pPr>
          </w:p>
          <w:p w14:paraId="05478C3B" w14:textId="77777777" w:rsidR="00FE5686" w:rsidRPr="008A30A9" w:rsidRDefault="00FE5686" w:rsidP="00002353">
            <w:pPr>
              <w:rPr>
                <w:rFonts w:ascii="Times New Roman" w:hAnsi="Times New Roman" w:cs="Times New Roman"/>
              </w:rPr>
            </w:pPr>
          </w:p>
          <w:p w14:paraId="0FA60EB7" w14:textId="77777777" w:rsidR="00FE5686" w:rsidRPr="008A30A9" w:rsidRDefault="00FE5686" w:rsidP="00002353">
            <w:pPr>
              <w:rPr>
                <w:rFonts w:ascii="Times New Roman" w:hAnsi="Times New Roman" w:cs="Times New Roman"/>
              </w:rPr>
            </w:pPr>
          </w:p>
          <w:p w14:paraId="44C49F42" w14:textId="77777777" w:rsidR="00FE5686" w:rsidRPr="008A30A9" w:rsidRDefault="00FE5686" w:rsidP="00002353">
            <w:pPr>
              <w:rPr>
                <w:rFonts w:ascii="Times New Roman" w:hAnsi="Times New Roman" w:cs="Times New Roman"/>
              </w:rPr>
            </w:pPr>
          </w:p>
          <w:p w14:paraId="19DC33A3" w14:textId="77777777" w:rsidR="00FE5686" w:rsidRPr="008A30A9" w:rsidRDefault="00FE5686" w:rsidP="00002353">
            <w:pPr>
              <w:rPr>
                <w:rFonts w:ascii="Times New Roman" w:hAnsi="Times New Roman" w:cs="Times New Roman"/>
              </w:rPr>
            </w:pPr>
          </w:p>
          <w:p w14:paraId="0A197B17" w14:textId="77777777" w:rsidR="00FE5686" w:rsidRPr="008A30A9" w:rsidRDefault="00FE5686" w:rsidP="00002353">
            <w:pPr>
              <w:rPr>
                <w:rFonts w:ascii="Times New Roman" w:hAnsi="Times New Roman" w:cs="Times New Roman"/>
              </w:rPr>
            </w:pPr>
          </w:p>
          <w:p w14:paraId="44A5A37E" w14:textId="77777777" w:rsidR="00FE5686" w:rsidRPr="008A30A9" w:rsidRDefault="0064261A" w:rsidP="00002353">
            <w:pPr>
              <w:rPr>
                <w:rFonts w:ascii="Times New Roman" w:hAnsi="Times New Roman" w:cs="Times New Roman"/>
                <w:b/>
                <w:strike/>
              </w:rPr>
            </w:pPr>
            <w:r w:rsidRPr="008A30A9">
              <w:rPr>
                <w:rFonts w:ascii="Times New Roman" w:hAnsi="Times New Roman" w:cs="Times New Roman"/>
              </w:rPr>
              <w:t>(1)</w:t>
            </w:r>
            <w:r w:rsidRPr="008A30A9">
              <w:rPr>
                <w:rFonts w:ascii="Times New Roman" w:hAnsi="Times New Roman" w:cs="Times New Roman"/>
                <w:b/>
                <w:strike/>
              </w:rPr>
              <w:t xml:space="preserve"> İmalatçı veya ithalatçı, bu Tebliğde belirtilen teknik dosyada veya temin edilen herhangi bir dokümanda yer alan parametrelerin herhangi birini daha iyi bir seviyeye çıkarmak amacıyla, test edildiğini (örneğin test koşulları veya test çevrimini öğrenerek) algılama ve test sırasındaki performansını özellikle otomatik olarak değiştirme özelliklerine sahip olacak şekilde tasarlanan ürünü piyasaya arz edemez.</w:t>
            </w:r>
          </w:p>
          <w:p w14:paraId="28B06BFE" w14:textId="77777777" w:rsidR="0064261A" w:rsidRPr="008A30A9" w:rsidRDefault="0064261A" w:rsidP="00002353">
            <w:pPr>
              <w:rPr>
                <w:rFonts w:ascii="Times New Roman" w:hAnsi="Times New Roman" w:cs="Times New Roman"/>
                <w:b/>
                <w:strike/>
              </w:rPr>
            </w:pPr>
          </w:p>
          <w:p w14:paraId="10AFBC25" w14:textId="77777777" w:rsidR="0064261A" w:rsidRPr="008A30A9" w:rsidRDefault="0064261A" w:rsidP="00002353">
            <w:pPr>
              <w:rPr>
                <w:rFonts w:ascii="Times New Roman" w:hAnsi="Times New Roman" w:cs="Times New Roman"/>
                <w:b/>
                <w:strike/>
              </w:rPr>
            </w:pPr>
          </w:p>
          <w:p w14:paraId="6AA0BC6C" w14:textId="5FCBD96E" w:rsidR="0064261A" w:rsidRDefault="0064261A" w:rsidP="00002353">
            <w:pPr>
              <w:rPr>
                <w:rFonts w:ascii="Times New Roman" w:hAnsi="Times New Roman" w:cs="Times New Roman"/>
                <w:b/>
                <w:strike/>
              </w:rPr>
            </w:pPr>
          </w:p>
          <w:p w14:paraId="2A613451" w14:textId="6E20DBB8" w:rsidR="00D52EC8" w:rsidRDefault="00D52EC8" w:rsidP="00002353">
            <w:pPr>
              <w:rPr>
                <w:rFonts w:ascii="Times New Roman" w:hAnsi="Times New Roman" w:cs="Times New Roman"/>
                <w:b/>
                <w:strike/>
              </w:rPr>
            </w:pPr>
          </w:p>
          <w:p w14:paraId="7D9A08F1" w14:textId="77777777" w:rsidR="00D52EC8" w:rsidRPr="008A30A9" w:rsidRDefault="00D52EC8" w:rsidP="00002353">
            <w:pPr>
              <w:rPr>
                <w:rFonts w:ascii="Times New Roman" w:hAnsi="Times New Roman" w:cs="Times New Roman"/>
                <w:b/>
                <w:strike/>
              </w:rPr>
            </w:pPr>
          </w:p>
          <w:p w14:paraId="2B220303" w14:textId="77777777" w:rsidR="00A865C6" w:rsidRPr="008A30A9" w:rsidRDefault="00A865C6" w:rsidP="00002353">
            <w:pPr>
              <w:rPr>
                <w:rFonts w:ascii="Times New Roman" w:hAnsi="Times New Roman" w:cs="Times New Roman"/>
                <w:b/>
                <w:strike/>
              </w:rPr>
            </w:pPr>
            <w:r w:rsidRPr="008A30A9">
              <w:rPr>
                <w:rFonts w:ascii="Times New Roman" w:hAnsi="Times New Roman" w:cs="Times New Roman"/>
                <w:b/>
                <w:strike/>
              </w:rPr>
              <w:t>(c)</w:t>
            </w:r>
            <w:r w:rsidRPr="008A30A9">
              <w:rPr>
                <w:rFonts w:ascii="Times New Roman" w:hAnsi="Times New Roman" w:cs="Times New Roman"/>
                <w:b/>
                <w:strike/>
              </w:rPr>
              <w:tab/>
            </w:r>
            <w:proofErr w:type="spellStart"/>
            <w:r w:rsidRPr="008A30A9">
              <w:rPr>
                <w:rFonts w:ascii="Times New Roman" w:hAnsi="Times New Roman" w:cs="Times New Roman"/>
                <w:b/>
                <w:strike/>
              </w:rPr>
              <w:t>Anakart</w:t>
            </w:r>
            <w:proofErr w:type="spellEnd"/>
            <w:r w:rsidRPr="008A30A9">
              <w:rPr>
                <w:rFonts w:ascii="Times New Roman" w:hAnsi="Times New Roman" w:cs="Times New Roman"/>
                <w:b/>
                <w:strike/>
              </w:rPr>
              <w:t xml:space="preserve">: Sunucunun temel devre kartıdır. </w:t>
            </w:r>
            <w:proofErr w:type="spellStart"/>
            <w:r w:rsidRPr="008A30A9">
              <w:rPr>
                <w:rFonts w:ascii="Times New Roman" w:hAnsi="Times New Roman" w:cs="Times New Roman"/>
                <w:b/>
                <w:strike/>
              </w:rPr>
              <w:t>Anakart</w:t>
            </w:r>
            <w:proofErr w:type="spellEnd"/>
            <w:r w:rsidRPr="008A30A9">
              <w:rPr>
                <w:rFonts w:ascii="Times New Roman" w:hAnsi="Times New Roman" w:cs="Times New Roman"/>
                <w:b/>
                <w:strike/>
              </w:rPr>
              <w:t xml:space="preserve">, bu Tebliğin amaçları bakımından, tali kartları bağlamak için </w:t>
            </w:r>
            <w:proofErr w:type="spellStart"/>
            <w:r w:rsidRPr="008A30A9">
              <w:rPr>
                <w:rFonts w:ascii="Times New Roman" w:hAnsi="Times New Roman" w:cs="Times New Roman"/>
                <w:b/>
                <w:strike/>
              </w:rPr>
              <w:t>konnektörler</w:t>
            </w:r>
            <w:proofErr w:type="spellEnd"/>
            <w:r w:rsidRPr="008A30A9">
              <w:rPr>
                <w:rFonts w:ascii="Times New Roman" w:hAnsi="Times New Roman" w:cs="Times New Roman"/>
                <w:b/>
                <w:strike/>
              </w:rPr>
              <w:t xml:space="preserve"> ve genellikle işlemci, </w:t>
            </w:r>
            <w:proofErr w:type="gramStart"/>
            <w:r w:rsidRPr="008A30A9">
              <w:rPr>
                <w:rFonts w:ascii="Times New Roman" w:hAnsi="Times New Roman" w:cs="Times New Roman"/>
                <w:b/>
                <w:strike/>
              </w:rPr>
              <w:t>bellek,  BIOS</w:t>
            </w:r>
            <w:proofErr w:type="gramEnd"/>
            <w:r w:rsidRPr="008A30A9">
              <w:rPr>
                <w:rFonts w:ascii="Times New Roman" w:hAnsi="Times New Roman" w:cs="Times New Roman"/>
                <w:b/>
                <w:strike/>
              </w:rPr>
              <w:t xml:space="preserve"> ve genişletme soketleri içerir.</w:t>
            </w:r>
          </w:p>
          <w:p w14:paraId="1CCE6EF1" w14:textId="77777777" w:rsidR="00A865C6" w:rsidRPr="008A30A9" w:rsidRDefault="00A865C6" w:rsidP="00002353">
            <w:pPr>
              <w:rPr>
                <w:rFonts w:ascii="Times New Roman" w:hAnsi="Times New Roman" w:cs="Times New Roman"/>
                <w:b/>
                <w:strike/>
              </w:rPr>
            </w:pPr>
          </w:p>
          <w:p w14:paraId="5295C3A7" w14:textId="77777777" w:rsidR="00A865C6" w:rsidRPr="008A30A9" w:rsidRDefault="00A865C6" w:rsidP="00002353">
            <w:pPr>
              <w:rPr>
                <w:rFonts w:ascii="Times New Roman" w:hAnsi="Times New Roman" w:cs="Times New Roman"/>
                <w:b/>
                <w:strike/>
              </w:rPr>
            </w:pPr>
          </w:p>
          <w:p w14:paraId="0785744C" w14:textId="12DE0C38" w:rsidR="00A865C6" w:rsidRPr="008A30A9" w:rsidRDefault="00866772" w:rsidP="00002353">
            <w:pPr>
              <w:rPr>
                <w:rFonts w:ascii="Times New Roman" w:hAnsi="Times New Roman" w:cs="Times New Roman"/>
                <w:b/>
                <w:strike/>
              </w:rPr>
            </w:pPr>
            <w:r w:rsidRPr="008A30A9">
              <w:rPr>
                <w:rFonts w:ascii="Times New Roman" w:hAnsi="Times New Roman" w:cs="Times New Roman"/>
                <w:b/>
                <w:strike/>
              </w:rPr>
              <w:t>(</w:t>
            </w:r>
            <w:proofErr w:type="gramStart"/>
            <w:r w:rsidR="00D52EC8">
              <w:rPr>
                <w:rFonts w:ascii="Times New Roman" w:hAnsi="Times New Roman" w:cs="Times New Roman"/>
                <w:b/>
                <w:strike/>
              </w:rPr>
              <w:t>ç</w:t>
            </w:r>
            <w:proofErr w:type="gramEnd"/>
            <w:r w:rsidRPr="008A30A9">
              <w:rPr>
                <w:rFonts w:ascii="Times New Roman" w:hAnsi="Times New Roman" w:cs="Times New Roman"/>
                <w:b/>
                <w:strike/>
              </w:rPr>
              <w:t>)</w:t>
            </w:r>
            <w:r w:rsidRPr="008A30A9">
              <w:rPr>
                <w:rFonts w:ascii="Times New Roman" w:hAnsi="Times New Roman" w:cs="Times New Roman"/>
                <w:b/>
                <w:strike/>
              </w:rPr>
              <w:tab/>
              <w:t xml:space="preserve">İşlemci: Sunucuyu çalıştıran temel komutları işleyen ve yanıtlayan lojik devre sistemidir. İşlemci, bu Tebliğin amaçları bakımından, sunucunun Merkezi İşlem Birimi (CPU) </w:t>
            </w:r>
            <w:proofErr w:type="spellStart"/>
            <w:r w:rsidRPr="008A30A9">
              <w:rPr>
                <w:rFonts w:ascii="Times New Roman" w:hAnsi="Times New Roman" w:cs="Times New Roman"/>
                <w:b/>
                <w:strike/>
              </w:rPr>
              <w:t>dir</w:t>
            </w:r>
            <w:proofErr w:type="spellEnd"/>
            <w:r w:rsidRPr="008A30A9">
              <w:rPr>
                <w:rFonts w:ascii="Times New Roman" w:hAnsi="Times New Roman" w:cs="Times New Roman"/>
                <w:b/>
                <w:strike/>
              </w:rPr>
              <w:t xml:space="preserve">. Sıradan bir CPU, bir soket ya da doğrudan lehim bağlantısıyla sunucu </w:t>
            </w:r>
            <w:proofErr w:type="spellStart"/>
            <w:r w:rsidRPr="008A30A9">
              <w:rPr>
                <w:rFonts w:ascii="Times New Roman" w:hAnsi="Times New Roman" w:cs="Times New Roman"/>
                <w:b/>
                <w:strike/>
              </w:rPr>
              <w:t>anakartı</w:t>
            </w:r>
            <w:proofErr w:type="spellEnd"/>
            <w:r w:rsidRPr="008A30A9">
              <w:rPr>
                <w:rFonts w:ascii="Times New Roman" w:hAnsi="Times New Roman" w:cs="Times New Roman"/>
                <w:b/>
                <w:strike/>
              </w:rPr>
              <w:t xml:space="preserve"> üzerine kurulmuş fiziksel bir pakettir. CPU paketi bir veya daha fazla işlemci çekirdeği içerebilir.</w:t>
            </w:r>
          </w:p>
          <w:p w14:paraId="013EE5D0" w14:textId="77777777" w:rsidR="00866772" w:rsidRPr="008A30A9" w:rsidRDefault="00866772" w:rsidP="00002353">
            <w:pPr>
              <w:rPr>
                <w:rFonts w:ascii="Times New Roman" w:hAnsi="Times New Roman" w:cs="Times New Roman"/>
                <w:b/>
                <w:strike/>
              </w:rPr>
            </w:pPr>
          </w:p>
          <w:p w14:paraId="442F1C55" w14:textId="77777777" w:rsidR="00866772" w:rsidRPr="008A30A9" w:rsidRDefault="00BC1A7C" w:rsidP="00002353">
            <w:pPr>
              <w:rPr>
                <w:rFonts w:ascii="Times New Roman" w:hAnsi="Times New Roman" w:cs="Times New Roman"/>
                <w:b/>
                <w:strike/>
              </w:rPr>
            </w:pPr>
            <w:r w:rsidRPr="008A30A9">
              <w:rPr>
                <w:rFonts w:ascii="Times New Roman" w:hAnsi="Times New Roman" w:cs="Times New Roman"/>
                <w:b/>
                <w:strike/>
              </w:rPr>
              <w:t>(d)</w:t>
            </w:r>
            <w:r w:rsidRPr="008A30A9">
              <w:rPr>
                <w:rFonts w:ascii="Times New Roman" w:hAnsi="Times New Roman" w:cs="Times New Roman"/>
                <w:b/>
                <w:strike/>
              </w:rPr>
              <w:tab/>
              <w:t xml:space="preserve">Bellek: Gigabayt (GB) olarak ifade edilen, bilginin anında kullanılmak üzere işlemci </w:t>
            </w:r>
            <w:r w:rsidRPr="008A30A9">
              <w:rPr>
                <w:rFonts w:ascii="Times New Roman" w:hAnsi="Times New Roman" w:cs="Times New Roman"/>
                <w:b/>
                <w:strike/>
              </w:rPr>
              <w:lastRenderedPageBreak/>
              <w:t>tarafından depolandığı, işlemcinin dışında kalan bir sunucu parçasıdır.</w:t>
            </w:r>
          </w:p>
          <w:p w14:paraId="75D68DB3" w14:textId="77777777" w:rsidR="00E93860" w:rsidRPr="008A30A9" w:rsidRDefault="00E93860" w:rsidP="00002353">
            <w:pPr>
              <w:rPr>
                <w:rFonts w:ascii="Times New Roman" w:hAnsi="Times New Roman" w:cs="Times New Roman"/>
                <w:b/>
                <w:strike/>
              </w:rPr>
            </w:pPr>
          </w:p>
          <w:p w14:paraId="008F83A2" w14:textId="77777777" w:rsidR="00E93860" w:rsidRPr="008A30A9" w:rsidRDefault="00E93860" w:rsidP="00002353">
            <w:pPr>
              <w:rPr>
                <w:rFonts w:ascii="Times New Roman" w:hAnsi="Times New Roman" w:cs="Times New Roman"/>
                <w:b/>
                <w:strike/>
              </w:rPr>
            </w:pPr>
          </w:p>
          <w:p w14:paraId="1559BD15" w14:textId="77777777" w:rsidR="00E93860" w:rsidRPr="008A30A9" w:rsidRDefault="00E93860" w:rsidP="00002353">
            <w:pPr>
              <w:rPr>
                <w:rFonts w:ascii="Times New Roman" w:hAnsi="Times New Roman" w:cs="Times New Roman"/>
                <w:b/>
                <w:strike/>
              </w:rPr>
            </w:pPr>
          </w:p>
          <w:p w14:paraId="00BA5832" w14:textId="77777777" w:rsidR="00E93860" w:rsidRPr="008A30A9" w:rsidRDefault="00E93860" w:rsidP="00002353">
            <w:pPr>
              <w:rPr>
                <w:rFonts w:ascii="Times New Roman" w:hAnsi="Times New Roman" w:cs="Times New Roman"/>
                <w:b/>
                <w:strike/>
              </w:rPr>
            </w:pPr>
          </w:p>
          <w:p w14:paraId="3FD7156E" w14:textId="77777777" w:rsidR="00DC5627" w:rsidRPr="008A30A9" w:rsidRDefault="00DC5627" w:rsidP="00002353">
            <w:pPr>
              <w:rPr>
                <w:rFonts w:ascii="Times New Roman" w:hAnsi="Times New Roman" w:cs="Times New Roman"/>
                <w:b/>
                <w:strike/>
              </w:rPr>
            </w:pPr>
          </w:p>
          <w:p w14:paraId="64C7D88F" w14:textId="77777777" w:rsidR="00DC5627" w:rsidRPr="008A30A9" w:rsidRDefault="00DC5627" w:rsidP="00002353">
            <w:pPr>
              <w:rPr>
                <w:rFonts w:ascii="Times New Roman" w:hAnsi="Times New Roman" w:cs="Times New Roman"/>
                <w:b/>
                <w:strike/>
              </w:rPr>
            </w:pPr>
          </w:p>
          <w:p w14:paraId="621BE7F3" w14:textId="77777777" w:rsidR="00DC5627" w:rsidRPr="008A30A9" w:rsidRDefault="00DC5627" w:rsidP="00002353">
            <w:pPr>
              <w:rPr>
                <w:rFonts w:ascii="Times New Roman" w:hAnsi="Times New Roman" w:cs="Times New Roman"/>
                <w:b/>
                <w:strike/>
              </w:rPr>
            </w:pPr>
          </w:p>
          <w:p w14:paraId="4637A6EF" w14:textId="77777777" w:rsidR="00DC5627" w:rsidRPr="008A30A9" w:rsidRDefault="00DC5627" w:rsidP="00002353">
            <w:pPr>
              <w:rPr>
                <w:rFonts w:ascii="Times New Roman" w:hAnsi="Times New Roman" w:cs="Times New Roman"/>
                <w:b/>
                <w:strike/>
              </w:rPr>
            </w:pPr>
          </w:p>
          <w:p w14:paraId="450D71EA" w14:textId="77777777" w:rsidR="00DC5627" w:rsidRPr="008A30A9" w:rsidRDefault="00DC5627" w:rsidP="00002353">
            <w:pPr>
              <w:rPr>
                <w:rFonts w:ascii="Times New Roman" w:hAnsi="Times New Roman" w:cs="Times New Roman"/>
                <w:b/>
                <w:strike/>
              </w:rPr>
            </w:pPr>
          </w:p>
          <w:p w14:paraId="0B68D037" w14:textId="77777777" w:rsidR="00DC5627" w:rsidRPr="008A30A9" w:rsidRDefault="00DC5627" w:rsidP="00002353">
            <w:pPr>
              <w:rPr>
                <w:rFonts w:ascii="Times New Roman" w:hAnsi="Times New Roman" w:cs="Times New Roman"/>
                <w:b/>
                <w:strike/>
              </w:rPr>
            </w:pPr>
          </w:p>
          <w:p w14:paraId="13DCBCDE" w14:textId="77777777" w:rsidR="00DC5627" w:rsidRPr="008A30A9" w:rsidRDefault="00DC5627" w:rsidP="00002353">
            <w:pPr>
              <w:rPr>
                <w:rFonts w:ascii="Times New Roman" w:hAnsi="Times New Roman" w:cs="Times New Roman"/>
                <w:b/>
                <w:strike/>
              </w:rPr>
            </w:pPr>
          </w:p>
          <w:p w14:paraId="24CC61F7" w14:textId="77777777" w:rsidR="00DC5627" w:rsidRPr="008A30A9" w:rsidRDefault="00DC5627" w:rsidP="00002353">
            <w:pPr>
              <w:rPr>
                <w:rFonts w:ascii="Times New Roman" w:hAnsi="Times New Roman" w:cs="Times New Roman"/>
                <w:b/>
                <w:strike/>
              </w:rPr>
            </w:pPr>
          </w:p>
          <w:p w14:paraId="08403A71" w14:textId="02712178" w:rsidR="00DC5627" w:rsidRPr="008A30A9" w:rsidRDefault="00DC5627" w:rsidP="00002353">
            <w:pPr>
              <w:rPr>
                <w:rFonts w:ascii="Times New Roman" w:hAnsi="Times New Roman" w:cs="Times New Roman"/>
                <w:b/>
                <w:strike/>
              </w:rPr>
            </w:pPr>
          </w:p>
          <w:p w14:paraId="491DA2B4" w14:textId="10F7B062" w:rsidR="00733512" w:rsidRPr="008A30A9" w:rsidRDefault="00733512" w:rsidP="00002353">
            <w:pPr>
              <w:rPr>
                <w:rFonts w:ascii="Times New Roman" w:hAnsi="Times New Roman" w:cs="Times New Roman"/>
                <w:b/>
                <w:strike/>
              </w:rPr>
            </w:pPr>
          </w:p>
          <w:p w14:paraId="093653AE" w14:textId="0434F6E8" w:rsidR="00733512" w:rsidRPr="008A30A9" w:rsidRDefault="00733512" w:rsidP="00002353">
            <w:pPr>
              <w:rPr>
                <w:rFonts w:ascii="Times New Roman" w:hAnsi="Times New Roman" w:cs="Times New Roman"/>
                <w:b/>
                <w:strike/>
              </w:rPr>
            </w:pPr>
          </w:p>
          <w:p w14:paraId="7EF0DAB3" w14:textId="7902FC9C" w:rsidR="00733512" w:rsidRPr="008A30A9" w:rsidRDefault="00733512" w:rsidP="00002353">
            <w:pPr>
              <w:rPr>
                <w:rFonts w:ascii="Times New Roman" w:hAnsi="Times New Roman" w:cs="Times New Roman"/>
                <w:b/>
                <w:strike/>
              </w:rPr>
            </w:pPr>
          </w:p>
          <w:p w14:paraId="02A1E8FB" w14:textId="4B2C933F" w:rsidR="00733512" w:rsidRPr="008A30A9" w:rsidRDefault="00733512" w:rsidP="00002353">
            <w:pPr>
              <w:rPr>
                <w:rFonts w:ascii="Times New Roman" w:hAnsi="Times New Roman" w:cs="Times New Roman"/>
                <w:b/>
                <w:strike/>
              </w:rPr>
            </w:pPr>
          </w:p>
          <w:p w14:paraId="0819A238" w14:textId="5A70F903" w:rsidR="00E727C4" w:rsidRPr="008A30A9" w:rsidRDefault="00E727C4" w:rsidP="00002353">
            <w:pPr>
              <w:rPr>
                <w:rFonts w:ascii="Times New Roman" w:hAnsi="Times New Roman" w:cs="Times New Roman"/>
                <w:b/>
                <w:strike/>
              </w:rPr>
            </w:pPr>
          </w:p>
          <w:p w14:paraId="3B0DCA8C" w14:textId="1B202A43" w:rsidR="00E727C4" w:rsidRPr="008A30A9" w:rsidRDefault="00E727C4" w:rsidP="00002353">
            <w:pPr>
              <w:rPr>
                <w:rFonts w:ascii="Times New Roman" w:hAnsi="Times New Roman" w:cs="Times New Roman"/>
                <w:b/>
                <w:strike/>
              </w:rPr>
            </w:pPr>
          </w:p>
          <w:p w14:paraId="3C02182B" w14:textId="3765FC91" w:rsidR="00E727C4" w:rsidRPr="008A30A9" w:rsidRDefault="00E727C4" w:rsidP="00002353">
            <w:pPr>
              <w:rPr>
                <w:rFonts w:ascii="Times New Roman" w:hAnsi="Times New Roman" w:cs="Times New Roman"/>
                <w:b/>
                <w:strike/>
              </w:rPr>
            </w:pPr>
          </w:p>
          <w:p w14:paraId="5E97236F" w14:textId="67375494" w:rsidR="00E727C4" w:rsidRPr="008A30A9" w:rsidRDefault="00E727C4" w:rsidP="00002353">
            <w:pPr>
              <w:rPr>
                <w:rFonts w:ascii="Times New Roman" w:hAnsi="Times New Roman" w:cs="Times New Roman"/>
                <w:b/>
                <w:strike/>
              </w:rPr>
            </w:pPr>
          </w:p>
          <w:p w14:paraId="50B4AA40" w14:textId="3DF43616" w:rsidR="00E727C4" w:rsidRPr="008A30A9" w:rsidRDefault="00E727C4" w:rsidP="00002353">
            <w:pPr>
              <w:rPr>
                <w:rFonts w:ascii="Times New Roman" w:hAnsi="Times New Roman" w:cs="Times New Roman"/>
                <w:b/>
                <w:strike/>
              </w:rPr>
            </w:pPr>
          </w:p>
          <w:p w14:paraId="5CCBC5DA" w14:textId="10723090" w:rsidR="00E727C4" w:rsidRPr="008A30A9" w:rsidRDefault="00E727C4" w:rsidP="00002353">
            <w:pPr>
              <w:rPr>
                <w:rFonts w:ascii="Times New Roman" w:hAnsi="Times New Roman" w:cs="Times New Roman"/>
                <w:b/>
                <w:strike/>
              </w:rPr>
            </w:pPr>
          </w:p>
          <w:p w14:paraId="1CB39732" w14:textId="77777777" w:rsidR="00CC1BF5" w:rsidRDefault="00CC1BF5" w:rsidP="00002353">
            <w:pPr>
              <w:rPr>
                <w:rFonts w:ascii="Times New Roman" w:hAnsi="Times New Roman" w:cs="Times New Roman"/>
                <w:b/>
                <w:strike/>
              </w:rPr>
            </w:pPr>
          </w:p>
          <w:p w14:paraId="59A12E70" w14:textId="77777777" w:rsidR="0069185A" w:rsidRPr="008A30A9" w:rsidRDefault="0069185A" w:rsidP="00002353">
            <w:pPr>
              <w:rPr>
                <w:rFonts w:ascii="Times New Roman" w:hAnsi="Times New Roman" w:cs="Times New Roman"/>
                <w:b/>
                <w:strike/>
              </w:rPr>
            </w:pPr>
          </w:p>
          <w:p w14:paraId="0CD594D0" w14:textId="77777777" w:rsidR="0069185A" w:rsidRPr="008A30A9" w:rsidRDefault="0069185A" w:rsidP="00002353">
            <w:pPr>
              <w:rPr>
                <w:rFonts w:ascii="Times New Roman" w:hAnsi="Times New Roman" w:cs="Times New Roman"/>
                <w:b/>
                <w:strike/>
              </w:rPr>
            </w:pPr>
          </w:p>
          <w:p w14:paraId="29C2F72E" w14:textId="77777777" w:rsidR="0069185A" w:rsidRPr="008A30A9" w:rsidRDefault="0069185A" w:rsidP="00002353">
            <w:pPr>
              <w:rPr>
                <w:rFonts w:ascii="Times New Roman" w:hAnsi="Times New Roman" w:cs="Times New Roman"/>
                <w:b/>
                <w:strike/>
              </w:rPr>
            </w:pPr>
          </w:p>
          <w:p w14:paraId="5F2B1359" w14:textId="77777777" w:rsidR="0069185A" w:rsidRPr="008A30A9" w:rsidRDefault="0069185A" w:rsidP="00002353">
            <w:pPr>
              <w:rPr>
                <w:rFonts w:ascii="Times New Roman" w:hAnsi="Times New Roman" w:cs="Times New Roman"/>
                <w:b/>
                <w:strike/>
              </w:rPr>
            </w:pPr>
          </w:p>
          <w:p w14:paraId="7DA0AE50" w14:textId="77777777" w:rsidR="0069185A" w:rsidRPr="008A30A9" w:rsidRDefault="0069185A" w:rsidP="00002353">
            <w:pPr>
              <w:rPr>
                <w:rFonts w:ascii="Times New Roman" w:hAnsi="Times New Roman" w:cs="Times New Roman"/>
                <w:b/>
                <w:strike/>
              </w:rPr>
            </w:pPr>
          </w:p>
          <w:p w14:paraId="3BC26732" w14:textId="77777777" w:rsidR="00EB42CE" w:rsidRPr="008A30A9" w:rsidRDefault="00EB42CE" w:rsidP="00002353">
            <w:pPr>
              <w:rPr>
                <w:rFonts w:ascii="Times New Roman" w:hAnsi="Times New Roman" w:cs="Times New Roman"/>
                <w:b/>
                <w:strike/>
              </w:rPr>
            </w:pPr>
          </w:p>
          <w:p w14:paraId="4079B72F" w14:textId="77777777" w:rsidR="00EB42CE" w:rsidRPr="008A30A9" w:rsidRDefault="00EB42CE" w:rsidP="00002353">
            <w:pPr>
              <w:rPr>
                <w:rFonts w:ascii="Times New Roman" w:hAnsi="Times New Roman" w:cs="Times New Roman"/>
                <w:b/>
                <w:strike/>
              </w:rPr>
            </w:pPr>
          </w:p>
          <w:p w14:paraId="688615D8" w14:textId="77777777" w:rsidR="00EB42CE" w:rsidRPr="008A30A9" w:rsidRDefault="00EB42CE" w:rsidP="00002353">
            <w:pPr>
              <w:rPr>
                <w:rFonts w:ascii="Times New Roman" w:hAnsi="Times New Roman" w:cs="Times New Roman"/>
                <w:b/>
                <w:strike/>
              </w:rPr>
            </w:pPr>
          </w:p>
          <w:p w14:paraId="6D01C1D2" w14:textId="77777777" w:rsidR="00EB42CE" w:rsidRPr="008A30A9" w:rsidRDefault="00EB42CE" w:rsidP="00002353">
            <w:pPr>
              <w:rPr>
                <w:rFonts w:ascii="Times New Roman" w:hAnsi="Times New Roman" w:cs="Times New Roman"/>
                <w:b/>
                <w:strike/>
              </w:rPr>
            </w:pPr>
          </w:p>
          <w:p w14:paraId="7595CD46" w14:textId="77777777" w:rsidR="00EB42CE" w:rsidRPr="008A30A9" w:rsidRDefault="00EB42CE" w:rsidP="00002353">
            <w:pPr>
              <w:rPr>
                <w:rFonts w:ascii="Times New Roman" w:hAnsi="Times New Roman" w:cs="Times New Roman"/>
                <w:b/>
                <w:strike/>
              </w:rPr>
            </w:pPr>
          </w:p>
          <w:p w14:paraId="4E186C40" w14:textId="77777777" w:rsidR="00EB42CE" w:rsidRPr="008A30A9" w:rsidRDefault="00EB42CE" w:rsidP="00002353">
            <w:pPr>
              <w:rPr>
                <w:rFonts w:ascii="Times New Roman" w:hAnsi="Times New Roman" w:cs="Times New Roman"/>
                <w:b/>
                <w:strike/>
              </w:rPr>
            </w:pPr>
          </w:p>
          <w:p w14:paraId="373616E1" w14:textId="77777777" w:rsidR="00EB42CE" w:rsidRPr="008A30A9" w:rsidRDefault="00EB42CE" w:rsidP="00002353">
            <w:pPr>
              <w:rPr>
                <w:rFonts w:ascii="Times New Roman" w:hAnsi="Times New Roman" w:cs="Times New Roman"/>
                <w:b/>
                <w:strike/>
              </w:rPr>
            </w:pPr>
          </w:p>
          <w:p w14:paraId="124100DE" w14:textId="77777777" w:rsidR="00EB42CE" w:rsidRPr="008A30A9" w:rsidRDefault="00EB42CE" w:rsidP="00002353">
            <w:pPr>
              <w:rPr>
                <w:rFonts w:ascii="Times New Roman" w:hAnsi="Times New Roman" w:cs="Times New Roman"/>
                <w:b/>
                <w:strike/>
              </w:rPr>
            </w:pPr>
          </w:p>
          <w:p w14:paraId="2573E2EB" w14:textId="77777777" w:rsidR="00EB42CE" w:rsidRDefault="00EB42CE" w:rsidP="00002353">
            <w:pPr>
              <w:rPr>
                <w:rFonts w:ascii="Times New Roman" w:hAnsi="Times New Roman" w:cs="Times New Roman"/>
                <w:b/>
                <w:strike/>
              </w:rPr>
            </w:pPr>
          </w:p>
          <w:p w14:paraId="2E836F59" w14:textId="77777777" w:rsidR="00094E94" w:rsidRDefault="00094E94" w:rsidP="00002353">
            <w:pPr>
              <w:rPr>
                <w:rFonts w:ascii="Times New Roman" w:hAnsi="Times New Roman" w:cs="Times New Roman"/>
                <w:b/>
                <w:strike/>
              </w:rPr>
            </w:pPr>
          </w:p>
          <w:p w14:paraId="3294A66C" w14:textId="77777777" w:rsidR="00094E94" w:rsidRDefault="00094E94" w:rsidP="00002353">
            <w:pPr>
              <w:rPr>
                <w:rFonts w:ascii="Times New Roman" w:hAnsi="Times New Roman" w:cs="Times New Roman"/>
                <w:b/>
                <w:strike/>
              </w:rPr>
            </w:pPr>
          </w:p>
          <w:p w14:paraId="0F81C742" w14:textId="77777777" w:rsidR="00094E94" w:rsidRDefault="00094E94" w:rsidP="00002353">
            <w:pPr>
              <w:rPr>
                <w:rFonts w:ascii="Times New Roman" w:hAnsi="Times New Roman" w:cs="Times New Roman"/>
                <w:b/>
                <w:strike/>
              </w:rPr>
            </w:pPr>
          </w:p>
          <w:p w14:paraId="43B5607E" w14:textId="77777777" w:rsidR="00094E94" w:rsidRDefault="00094E94" w:rsidP="00002353">
            <w:pPr>
              <w:rPr>
                <w:rFonts w:ascii="Times New Roman" w:hAnsi="Times New Roman" w:cs="Times New Roman"/>
                <w:b/>
                <w:strike/>
              </w:rPr>
            </w:pPr>
          </w:p>
          <w:p w14:paraId="5C459837" w14:textId="77777777" w:rsidR="00094E94" w:rsidRDefault="00094E94" w:rsidP="00002353">
            <w:pPr>
              <w:rPr>
                <w:rFonts w:ascii="Times New Roman" w:hAnsi="Times New Roman" w:cs="Times New Roman"/>
                <w:b/>
                <w:strike/>
              </w:rPr>
            </w:pPr>
          </w:p>
          <w:p w14:paraId="4EEDFF08" w14:textId="77777777" w:rsidR="00094E94" w:rsidRDefault="00094E94" w:rsidP="00002353">
            <w:pPr>
              <w:rPr>
                <w:rFonts w:ascii="Times New Roman" w:hAnsi="Times New Roman" w:cs="Times New Roman"/>
                <w:b/>
                <w:strike/>
              </w:rPr>
            </w:pPr>
          </w:p>
          <w:p w14:paraId="72829732" w14:textId="77777777" w:rsidR="00094E94" w:rsidRDefault="00094E94" w:rsidP="00002353">
            <w:pPr>
              <w:rPr>
                <w:rFonts w:ascii="Times New Roman" w:hAnsi="Times New Roman" w:cs="Times New Roman"/>
                <w:b/>
                <w:strike/>
              </w:rPr>
            </w:pPr>
          </w:p>
          <w:p w14:paraId="769D8465" w14:textId="77777777" w:rsidR="00094E94" w:rsidRDefault="00094E94" w:rsidP="00002353">
            <w:pPr>
              <w:rPr>
                <w:rFonts w:ascii="Times New Roman" w:hAnsi="Times New Roman" w:cs="Times New Roman"/>
                <w:b/>
                <w:strike/>
              </w:rPr>
            </w:pPr>
          </w:p>
          <w:p w14:paraId="0621A892" w14:textId="77777777" w:rsidR="00094E94" w:rsidRDefault="00094E94" w:rsidP="00002353">
            <w:pPr>
              <w:rPr>
                <w:rFonts w:ascii="Times New Roman" w:hAnsi="Times New Roman" w:cs="Times New Roman"/>
                <w:b/>
                <w:strike/>
              </w:rPr>
            </w:pPr>
          </w:p>
          <w:p w14:paraId="19EC67D3" w14:textId="77777777" w:rsidR="00094E94" w:rsidRDefault="00094E94" w:rsidP="00002353">
            <w:pPr>
              <w:rPr>
                <w:rFonts w:ascii="Times New Roman" w:hAnsi="Times New Roman" w:cs="Times New Roman"/>
                <w:b/>
                <w:strike/>
              </w:rPr>
            </w:pPr>
          </w:p>
          <w:p w14:paraId="4EAE16BB" w14:textId="77777777" w:rsidR="00094E94" w:rsidRDefault="00094E94" w:rsidP="00002353">
            <w:pPr>
              <w:rPr>
                <w:rFonts w:ascii="Times New Roman" w:hAnsi="Times New Roman" w:cs="Times New Roman"/>
                <w:b/>
                <w:strike/>
              </w:rPr>
            </w:pPr>
          </w:p>
          <w:p w14:paraId="422759CC" w14:textId="77777777" w:rsidR="00094E94" w:rsidRDefault="00094E94" w:rsidP="00002353">
            <w:pPr>
              <w:rPr>
                <w:rFonts w:ascii="Times New Roman" w:hAnsi="Times New Roman" w:cs="Times New Roman"/>
                <w:b/>
                <w:strike/>
              </w:rPr>
            </w:pPr>
          </w:p>
          <w:p w14:paraId="527B448A" w14:textId="77777777" w:rsidR="00094E94" w:rsidRDefault="00094E94" w:rsidP="00002353">
            <w:pPr>
              <w:rPr>
                <w:rFonts w:ascii="Times New Roman" w:hAnsi="Times New Roman" w:cs="Times New Roman"/>
                <w:b/>
                <w:strike/>
              </w:rPr>
            </w:pPr>
          </w:p>
          <w:p w14:paraId="738B6CEA" w14:textId="77777777" w:rsidR="00094E94" w:rsidRDefault="00094E94" w:rsidP="00002353">
            <w:pPr>
              <w:rPr>
                <w:rFonts w:ascii="Times New Roman" w:hAnsi="Times New Roman" w:cs="Times New Roman"/>
                <w:b/>
                <w:strike/>
              </w:rPr>
            </w:pPr>
          </w:p>
          <w:p w14:paraId="58C0A850" w14:textId="77777777" w:rsidR="00094E94" w:rsidRDefault="00094E94" w:rsidP="00002353">
            <w:pPr>
              <w:rPr>
                <w:rFonts w:ascii="Times New Roman" w:hAnsi="Times New Roman" w:cs="Times New Roman"/>
                <w:b/>
                <w:strike/>
              </w:rPr>
            </w:pPr>
          </w:p>
          <w:p w14:paraId="66E8EE37" w14:textId="77777777" w:rsidR="00094E94" w:rsidRDefault="00094E94" w:rsidP="00002353">
            <w:pPr>
              <w:rPr>
                <w:rFonts w:ascii="Times New Roman" w:hAnsi="Times New Roman" w:cs="Times New Roman"/>
                <w:b/>
                <w:strike/>
              </w:rPr>
            </w:pPr>
          </w:p>
          <w:p w14:paraId="6ED4C98A" w14:textId="77777777" w:rsidR="00094E94" w:rsidRDefault="00094E94" w:rsidP="00002353">
            <w:pPr>
              <w:rPr>
                <w:rFonts w:ascii="Times New Roman" w:hAnsi="Times New Roman" w:cs="Times New Roman"/>
                <w:b/>
                <w:strike/>
              </w:rPr>
            </w:pPr>
          </w:p>
          <w:p w14:paraId="06902ACF" w14:textId="77777777" w:rsidR="00094E94" w:rsidRDefault="00094E94" w:rsidP="00002353">
            <w:pPr>
              <w:rPr>
                <w:rFonts w:ascii="Times New Roman" w:hAnsi="Times New Roman" w:cs="Times New Roman"/>
                <w:b/>
                <w:strike/>
              </w:rPr>
            </w:pPr>
          </w:p>
          <w:p w14:paraId="63E1CCA3" w14:textId="77777777" w:rsidR="00094E94" w:rsidRDefault="00094E94" w:rsidP="00002353">
            <w:pPr>
              <w:rPr>
                <w:rFonts w:ascii="Times New Roman" w:hAnsi="Times New Roman" w:cs="Times New Roman"/>
                <w:b/>
                <w:strike/>
              </w:rPr>
            </w:pPr>
          </w:p>
          <w:p w14:paraId="586FAF10" w14:textId="77777777" w:rsidR="00094E94" w:rsidRDefault="00094E94" w:rsidP="00002353">
            <w:pPr>
              <w:rPr>
                <w:rFonts w:ascii="Times New Roman" w:hAnsi="Times New Roman" w:cs="Times New Roman"/>
                <w:b/>
                <w:strike/>
              </w:rPr>
            </w:pPr>
          </w:p>
          <w:p w14:paraId="273AEA5C" w14:textId="77777777" w:rsidR="00094E94" w:rsidRDefault="00094E94" w:rsidP="00002353">
            <w:pPr>
              <w:rPr>
                <w:rFonts w:ascii="Times New Roman" w:hAnsi="Times New Roman" w:cs="Times New Roman"/>
                <w:b/>
                <w:strike/>
              </w:rPr>
            </w:pPr>
          </w:p>
          <w:p w14:paraId="47F4644A" w14:textId="77777777" w:rsidR="00094E94" w:rsidRDefault="00094E94" w:rsidP="00002353">
            <w:pPr>
              <w:rPr>
                <w:rFonts w:ascii="Times New Roman" w:hAnsi="Times New Roman" w:cs="Times New Roman"/>
                <w:b/>
                <w:strike/>
              </w:rPr>
            </w:pPr>
          </w:p>
          <w:p w14:paraId="0B0E696A" w14:textId="77777777" w:rsidR="00094E94" w:rsidRDefault="00094E94" w:rsidP="00002353">
            <w:pPr>
              <w:rPr>
                <w:rFonts w:ascii="Times New Roman" w:hAnsi="Times New Roman" w:cs="Times New Roman"/>
                <w:b/>
                <w:strike/>
              </w:rPr>
            </w:pPr>
          </w:p>
          <w:p w14:paraId="5C6E1CDF" w14:textId="77777777" w:rsidR="00094E94" w:rsidRDefault="00094E94" w:rsidP="00002353">
            <w:pPr>
              <w:rPr>
                <w:rFonts w:ascii="Times New Roman" w:hAnsi="Times New Roman" w:cs="Times New Roman"/>
                <w:b/>
                <w:strike/>
              </w:rPr>
            </w:pPr>
          </w:p>
          <w:p w14:paraId="1C78D2BF" w14:textId="77777777" w:rsidR="00094E94" w:rsidRDefault="00094E94" w:rsidP="00002353">
            <w:pPr>
              <w:rPr>
                <w:rFonts w:ascii="Times New Roman" w:hAnsi="Times New Roman" w:cs="Times New Roman"/>
                <w:b/>
                <w:strike/>
              </w:rPr>
            </w:pPr>
          </w:p>
          <w:p w14:paraId="58ED08D1" w14:textId="77777777" w:rsidR="00094E94" w:rsidRDefault="00094E94" w:rsidP="00002353">
            <w:pPr>
              <w:rPr>
                <w:rFonts w:ascii="Times New Roman" w:hAnsi="Times New Roman" w:cs="Times New Roman"/>
                <w:b/>
                <w:strike/>
              </w:rPr>
            </w:pPr>
          </w:p>
          <w:p w14:paraId="521F51ED" w14:textId="77777777" w:rsidR="00094E94" w:rsidRDefault="00094E94" w:rsidP="00002353">
            <w:pPr>
              <w:rPr>
                <w:rFonts w:ascii="Times New Roman" w:hAnsi="Times New Roman" w:cs="Times New Roman"/>
                <w:b/>
                <w:strike/>
              </w:rPr>
            </w:pPr>
          </w:p>
          <w:p w14:paraId="323927C2" w14:textId="77777777" w:rsidR="00094E94" w:rsidRDefault="00094E94" w:rsidP="00002353">
            <w:pPr>
              <w:rPr>
                <w:rFonts w:ascii="Times New Roman" w:hAnsi="Times New Roman" w:cs="Times New Roman"/>
                <w:b/>
                <w:strike/>
              </w:rPr>
            </w:pPr>
          </w:p>
          <w:p w14:paraId="68A23727" w14:textId="77777777" w:rsidR="00094E94" w:rsidRDefault="00094E94" w:rsidP="00002353">
            <w:pPr>
              <w:rPr>
                <w:rFonts w:ascii="Times New Roman" w:hAnsi="Times New Roman" w:cs="Times New Roman"/>
                <w:b/>
                <w:strike/>
              </w:rPr>
            </w:pPr>
          </w:p>
          <w:p w14:paraId="2CB45AF3" w14:textId="77777777" w:rsidR="00094E94" w:rsidRDefault="00094E94" w:rsidP="00002353">
            <w:pPr>
              <w:rPr>
                <w:rFonts w:ascii="Times New Roman" w:hAnsi="Times New Roman" w:cs="Times New Roman"/>
                <w:b/>
                <w:strike/>
              </w:rPr>
            </w:pPr>
          </w:p>
          <w:p w14:paraId="2E671940" w14:textId="77777777" w:rsidR="00094E94" w:rsidRDefault="00094E94" w:rsidP="00002353">
            <w:pPr>
              <w:rPr>
                <w:rFonts w:ascii="Times New Roman" w:hAnsi="Times New Roman" w:cs="Times New Roman"/>
                <w:b/>
                <w:strike/>
              </w:rPr>
            </w:pPr>
          </w:p>
          <w:p w14:paraId="77291745" w14:textId="77777777" w:rsidR="00094E94" w:rsidRDefault="00094E94" w:rsidP="00002353">
            <w:pPr>
              <w:rPr>
                <w:rFonts w:ascii="Times New Roman" w:hAnsi="Times New Roman" w:cs="Times New Roman"/>
                <w:b/>
                <w:strike/>
              </w:rPr>
            </w:pPr>
          </w:p>
          <w:p w14:paraId="774C97B9" w14:textId="77777777" w:rsidR="00094E94" w:rsidRDefault="00094E94" w:rsidP="00002353">
            <w:pPr>
              <w:rPr>
                <w:rFonts w:ascii="Times New Roman" w:hAnsi="Times New Roman" w:cs="Times New Roman"/>
                <w:b/>
                <w:strike/>
              </w:rPr>
            </w:pPr>
          </w:p>
          <w:p w14:paraId="65710114" w14:textId="77777777" w:rsidR="00094E94" w:rsidRDefault="00094E94" w:rsidP="00002353">
            <w:pPr>
              <w:rPr>
                <w:rFonts w:ascii="Times New Roman" w:hAnsi="Times New Roman" w:cs="Times New Roman"/>
                <w:b/>
                <w:strike/>
              </w:rPr>
            </w:pPr>
          </w:p>
          <w:p w14:paraId="1DAD4DE7" w14:textId="77777777" w:rsidR="00094E94" w:rsidRDefault="00094E94" w:rsidP="00002353">
            <w:pPr>
              <w:rPr>
                <w:rFonts w:ascii="Times New Roman" w:hAnsi="Times New Roman" w:cs="Times New Roman"/>
                <w:b/>
                <w:strike/>
              </w:rPr>
            </w:pPr>
          </w:p>
          <w:p w14:paraId="3750476B" w14:textId="77777777" w:rsidR="00094E94" w:rsidRDefault="00094E94" w:rsidP="00002353">
            <w:pPr>
              <w:rPr>
                <w:rFonts w:ascii="Times New Roman" w:hAnsi="Times New Roman" w:cs="Times New Roman"/>
                <w:b/>
                <w:strike/>
              </w:rPr>
            </w:pPr>
          </w:p>
          <w:p w14:paraId="699C512D" w14:textId="77777777" w:rsidR="00094E94" w:rsidRDefault="00094E94" w:rsidP="00002353">
            <w:pPr>
              <w:rPr>
                <w:rFonts w:ascii="Times New Roman" w:hAnsi="Times New Roman" w:cs="Times New Roman"/>
                <w:b/>
                <w:strike/>
              </w:rPr>
            </w:pPr>
          </w:p>
          <w:p w14:paraId="1E13DF8D" w14:textId="77777777" w:rsidR="00094E94" w:rsidRDefault="00094E94" w:rsidP="00002353">
            <w:pPr>
              <w:rPr>
                <w:rFonts w:ascii="Times New Roman" w:hAnsi="Times New Roman" w:cs="Times New Roman"/>
                <w:b/>
                <w:strike/>
              </w:rPr>
            </w:pPr>
          </w:p>
          <w:p w14:paraId="259FA5C8" w14:textId="77777777" w:rsidR="00094E94" w:rsidRDefault="00094E94" w:rsidP="00002353">
            <w:pPr>
              <w:rPr>
                <w:rFonts w:ascii="Times New Roman" w:hAnsi="Times New Roman" w:cs="Times New Roman"/>
                <w:b/>
                <w:strike/>
              </w:rPr>
            </w:pPr>
          </w:p>
          <w:p w14:paraId="517D7070" w14:textId="77777777" w:rsidR="00094E94" w:rsidRDefault="00094E94" w:rsidP="00002353">
            <w:pPr>
              <w:rPr>
                <w:rFonts w:ascii="Times New Roman" w:hAnsi="Times New Roman" w:cs="Times New Roman"/>
                <w:b/>
                <w:strike/>
              </w:rPr>
            </w:pPr>
          </w:p>
          <w:p w14:paraId="0137E111" w14:textId="77777777" w:rsidR="00094E94" w:rsidRDefault="00094E94" w:rsidP="00002353">
            <w:pPr>
              <w:rPr>
                <w:rFonts w:ascii="Times New Roman" w:hAnsi="Times New Roman" w:cs="Times New Roman"/>
                <w:b/>
                <w:strike/>
              </w:rPr>
            </w:pPr>
          </w:p>
          <w:p w14:paraId="459F4004" w14:textId="77777777" w:rsidR="00094E94" w:rsidRDefault="00094E94" w:rsidP="00002353">
            <w:pPr>
              <w:rPr>
                <w:rFonts w:ascii="Times New Roman" w:hAnsi="Times New Roman" w:cs="Times New Roman"/>
                <w:b/>
                <w:strike/>
              </w:rPr>
            </w:pPr>
          </w:p>
          <w:p w14:paraId="6BEB63AE" w14:textId="77777777" w:rsidR="00094E94" w:rsidRDefault="00094E94" w:rsidP="00002353">
            <w:pPr>
              <w:rPr>
                <w:rFonts w:ascii="Times New Roman" w:hAnsi="Times New Roman" w:cs="Times New Roman"/>
                <w:b/>
                <w:strike/>
              </w:rPr>
            </w:pPr>
          </w:p>
          <w:p w14:paraId="251F80CF" w14:textId="77777777" w:rsidR="00094E94" w:rsidRDefault="00094E94" w:rsidP="00002353">
            <w:pPr>
              <w:rPr>
                <w:rFonts w:ascii="Times New Roman" w:hAnsi="Times New Roman" w:cs="Times New Roman"/>
                <w:b/>
                <w:strike/>
              </w:rPr>
            </w:pPr>
          </w:p>
          <w:p w14:paraId="5EE1B307" w14:textId="77777777" w:rsidR="00094E94" w:rsidRDefault="00094E94" w:rsidP="00002353">
            <w:pPr>
              <w:rPr>
                <w:rFonts w:ascii="Times New Roman" w:hAnsi="Times New Roman" w:cs="Times New Roman"/>
                <w:b/>
                <w:strike/>
              </w:rPr>
            </w:pPr>
          </w:p>
          <w:p w14:paraId="2D29F475" w14:textId="77777777" w:rsidR="00094E94" w:rsidRDefault="00094E94" w:rsidP="00002353">
            <w:pPr>
              <w:rPr>
                <w:rFonts w:ascii="Times New Roman" w:hAnsi="Times New Roman" w:cs="Times New Roman"/>
                <w:b/>
                <w:strike/>
              </w:rPr>
            </w:pPr>
          </w:p>
          <w:p w14:paraId="6DE787A3" w14:textId="77777777" w:rsidR="00094E94" w:rsidRDefault="00094E94" w:rsidP="00002353">
            <w:pPr>
              <w:rPr>
                <w:rFonts w:ascii="Times New Roman" w:hAnsi="Times New Roman" w:cs="Times New Roman"/>
                <w:b/>
                <w:strike/>
              </w:rPr>
            </w:pPr>
          </w:p>
          <w:p w14:paraId="757A7385" w14:textId="77777777" w:rsidR="00094E94" w:rsidRDefault="00094E94" w:rsidP="00002353">
            <w:pPr>
              <w:rPr>
                <w:rFonts w:ascii="Times New Roman" w:hAnsi="Times New Roman" w:cs="Times New Roman"/>
                <w:b/>
                <w:strike/>
              </w:rPr>
            </w:pPr>
          </w:p>
          <w:p w14:paraId="46E74A22" w14:textId="77777777" w:rsidR="00094E94" w:rsidRDefault="00094E94" w:rsidP="00002353">
            <w:pPr>
              <w:rPr>
                <w:rFonts w:ascii="Times New Roman" w:hAnsi="Times New Roman" w:cs="Times New Roman"/>
                <w:b/>
                <w:strike/>
              </w:rPr>
            </w:pPr>
          </w:p>
          <w:p w14:paraId="40161293" w14:textId="77777777" w:rsidR="00094E94" w:rsidRDefault="00094E94" w:rsidP="00002353">
            <w:pPr>
              <w:rPr>
                <w:rFonts w:ascii="Times New Roman" w:hAnsi="Times New Roman" w:cs="Times New Roman"/>
                <w:b/>
                <w:strike/>
              </w:rPr>
            </w:pPr>
          </w:p>
          <w:p w14:paraId="2CBAD2BC" w14:textId="77777777" w:rsidR="00094E94" w:rsidRDefault="00094E94" w:rsidP="00002353">
            <w:pPr>
              <w:rPr>
                <w:rFonts w:ascii="Times New Roman" w:hAnsi="Times New Roman" w:cs="Times New Roman"/>
                <w:b/>
                <w:strike/>
              </w:rPr>
            </w:pPr>
          </w:p>
          <w:p w14:paraId="46EFBEE8" w14:textId="77777777" w:rsidR="00094E94" w:rsidRDefault="00094E94" w:rsidP="00002353">
            <w:pPr>
              <w:rPr>
                <w:rFonts w:ascii="Times New Roman" w:hAnsi="Times New Roman" w:cs="Times New Roman"/>
                <w:b/>
                <w:strike/>
              </w:rPr>
            </w:pPr>
          </w:p>
          <w:p w14:paraId="0248346F" w14:textId="77777777" w:rsidR="00094E94" w:rsidRDefault="00094E94" w:rsidP="00002353">
            <w:pPr>
              <w:rPr>
                <w:rFonts w:ascii="Times New Roman" w:hAnsi="Times New Roman" w:cs="Times New Roman"/>
                <w:b/>
                <w:strike/>
              </w:rPr>
            </w:pPr>
          </w:p>
          <w:p w14:paraId="363B2B7D" w14:textId="77777777" w:rsidR="00094E94" w:rsidRDefault="00094E94" w:rsidP="00002353">
            <w:pPr>
              <w:rPr>
                <w:rFonts w:ascii="Times New Roman" w:hAnsi="Times New Roman" w:cs="Times New Roman"/>
                <w:b/>
                <w:strike/>
              </w:rPr>
            </w:pPr>
          </w:p>
          <w:p w14:paraId="7F5F9BB8" w14:textId="77777777" w:rsidR="00094E94" w:rsidRDefault="00094E94" w:rsidP="00002353">
            <w:pPr>
              <w:rPr>
                <w:rFonts w:ascii="Times New Roman" w:hAnsi="Times New Roman" w:cs="Times New Roman"/>
                <w:b/>
                <w:strike/>
              </w:rPr>
            </w:pPr>
          </w:p>
          <w:p w14:paraId="3965EBF8" w14:textId="77777777" w:rsidR="00094E94" w:rsidRDefault="00094E94" w:rsidP="00002353">
            <w:pPr>
              <w:rPr>
                <w:rFonts w:ascii="Times New Roman" w:hAnsi="Times New Roman" w:cs="Times New Roman"/>
                <w:b/>
                <w:strike/>
              </w:rPr>
            </w:pPr>
          </w:p>
          <w:p w14:paraId="0C18EA99" w14:textId="77777777" w:rsidR="00094E94" w:rsidRDefault="00094E94" w:rsidP="00002353">
            <w:pPr>
              <w:rPr>
                <w:rFonts w:ascii="Times New Roman" w:hAnsi="Times New Roman" w:cs="Times New Roman"/>
                <w:b/>
                <w:strike/>
              </w:rPr>
            </w:pPr>
          </w:p>
          <w:p w14:paraId="397ABC2B" w14:textId="77777777" w:rsidR="00094E94" w:rsidRDefault="00094E94" w:rsidP="00002353">
            <w:pPr>
              <w:rPr>
                <w:rFonts w:ascii="Times New Roman" w:hAnsi="Times New Roman" w:cs="Times New Roman"/>
                <w:b/>
                <w:strike/>
              </w:rPr>
            </w:pPr>
          </w:p>
          <w:p w14:paraId="4E589377" w14:textId="77777777" w:rsidR="00094E94" w:rsidRDefault="00094E94" w:rsidP="00002353">
            <w:pPr>
              <w:rPr>
                <w:rFonts w:ascii="Times New Roman" w:hAnsi="Times New Roman" w:cs="Times New Roman"/>
                <w:b/>
                <w:strike/>
              </w:rPr>
            </w:pPr>
          </w:p>
          <w:p w14:paraId="17756B65" w14:textId="77777777" w:rsidR="00094E94" w:rsidRDefault="00094E94" w:rsidP="00002353">
            <w:pPr>
              <w:rPr>
                <w:rFonts w:ascii="Times New Roman" w:hAnsi="Times New Roman" w:cs="Times New Roman"/>
                <w:b/>
                <w:strike/>
              </w:rPr>
            </w:pPr>
          </w:p>
          <w:p w14:paraId="09AD7B8F" w14:textId="77777777" w:rsidR="00094E94" w:rsidRDefault="00094E94" w:rsidP="00002353">
            <w:pPr>
              <w:rPr>
                <w:rFonts w:ascii="Times New Roman" w:hAnsi="Times New Roman" w:cs="Times New Roman"/>
                <w:b/>
                <w:strike/>
              </w:rPr>
            </w:pPr>
          </w:p>
          <w:p w14:paraId="7A4B0D4F" w14:textId="77777777" w:rsidR="00094E94" w:rsidRDefault="00094E94" w:rsidP="00002353">
            <w:pPr>
              <w:rPr>
                <w:rFonts w:ascii="Times New Roman" w:hAnsi="Times New Roman" w:cs="Times New Roman"/>
                <w:b/>
                <w:strike/>
              </w:rPr>
            </w:pPr>
          </w:p>
          <w:p w14:paraId="41DE957E" w14:textId="77777777" w:rsidR="00094E94" w:rsidRDefault="00094E94" w:rsidP="00002353">
            <w:pPr>
              <w:rPr>
                <w:rFonts w:ascii="Times New Roman" w:hAnsi="Times New Roman" w:cs="Times New Roman"/>
                <w:b/>
                <w:strike/>
              </w:rPr>
            </w:pPr>
          </w:p>
          <w:p w14:paraId="61C6E97E" w14:textId="77777777" w:rsidR="00094E94" w:rsidRDefault="00094E94" w:rsidP="00002353">
            <w:pPr>
              <w:rPr>
                <w:rFonts w:ascii="Times New Roman" w:hAnsi="Times New Roman" w:cs="Times New Roman"/>
                <w:b/>
                <w:strike/>
              </w:rPr>
            </w:pPr>
          </w:p>
          <w:p w14:paraId="21689B2B" w14:textId="77777777" w:rsidR="00094E94" w:rsidRDefault="00094E94" w:rsidP="00002353">
            <w:pPr>
              <w:rPr>
                <w:rFonts w:ascii="Times New Roman" w:hAnsi="Times New Roman" w:cs="Times New Roman"/>
                <w:b/>
                <w:strike/>
              </w:rPr>
            </w:pPr>
          </w:p>
          <w:p w14:paraId="633ED2D0" w14:textId="77777777" w:rsidR="00094E94" w:rsidRDefault="00094E94" w:rsidP="00002353">
            <w:pPr>
              <w:rPr>
                <w:rFonts w:ascii="Times New Roman" w:hAnsi="Times New Roman" w:cs="Times New Roman"/>
                <w:b/>
                <w:strike/>
              </w:rPr>
            </w:pPr>
          </w:p>
          <w:p w14:paraId="005FBB22" w14:textId="77777777" w:rsidR="00094E94" w:rsidRDefault="00094E94" w:rsidP="00002353">
            <w:pPr>
              <w:rPr>
                <w:rFonts w:ascii="Times New Roman" w:hAnsi="Times New Roman" w:cs="Times New Roman"/>
                <w:b/>
                <w:strike/>
              </w:rPr>
            </w:pPr>
          </w:p>
          <w:p w14:paraId="1379979F" w14:textId="77777777" w:rsidR="00094E94" w:rsidRDefault="00094E94" w:rsidP="00002353">
            <w:pPr>
              <w:rPr>
                <w:rFonts w:ascii="Times New Roman" w:hAnsi="Times New Roman" w:cs="Times New Roman"/>
                <w:b/>
                <w:strike/>
              </w:rPr>
            </w:pPr>
          </w:p>
          <w:p w14:paraId="1C65C3AE" w14:textId="77777777" w:rsidR="00094E94" w:rsidRDefault="00094E94" w:rsidP="00002353">
            <w:pPr>
              <w:rPr>
                <w:rFonts w:ascii="Times New Roman" w:hAnsi="Times New Roman" w:cs="Times New Roman"/>
                <w:b/>
                <w:strike/>
              </w:rPr>
            </w:pPr>
          </w:p>
          <w:p w14:paraId="22DD41DB" w14:textId="77777777" w:rsidR="00094E94" w:rsidRDefault="00094E94" w:rsidP="00002353">
            <w:pPr>
              <w:rPr>
                <w:rFonts w:ascii="Times New Roman" w:hAnsi="Times New Roman" w:cs="Times New Roman"/>
                <w:b/>
                <w:strike/>
              </w:rPr>
            </w:pPr>
          </w:p>
          <w:p w14:paraId="741044AE" w14:textId="77777777" w:rsidR="00094E94" w:rsidRDefault="00094E94" w:rsidP="00002353">
            <w:pPr>
              <w:rPr>
                <w:rFonts w:ascii="Times New Roman" w:hAnsi="Times New Roman" w:cs="Times New Roman"/>
                <w:b/>
                <w:strike/>
              </w:rPr>
            </w:pPr>
          </w:p>
          <w:p w14:paraId="22CC8E42" w14:textId="77777777" w:rsidR="00094E94" w:rsidRDefault="00094E94" w:rsidP="00002353">
            <w:pPr>
              <w:rPr>
                <w:rFonts w:ascii="Times New Roman" w:hAnsi="Times New Roman" w:cs="Times New Roman"/>
                <w:b/>
                <w:strike/>
              </w:rPr>
            </w:pPr>
          </w:p>
          <w:p w14:paraId="19CF030B" w14:textId="77777777" w:rsidR="00094E94" w:rsidRDefault="00094E94" w:rsidP="00002353">
            <w:pPr>
              <w:rPr>
                <w:rFonts w:ascii="Times New Roman" w:hAnsi="Times New Roman" w:cs="Times New Roman"/>
                <w:b/>
                <w:strike/>
              </w:rPr>
            </w:pPr>
          </w:p>
          <w:p w14:paraId="67F7F05B" w14:textId="77777777" w:rsidR="00094E94" w:rsidRDefault="00094E94" w:rsidP="00002353">
            <w:pPr>
              <w:rPr>
                <w:rFonts w:ascii="Times New Roman" w:hAnsi="Times New Roman" w:cs="Times New Roman"/>
                <w:b/>
                <w:strike/>
              </w:rPr>
            </w:pPr>
          </w:p>
          <w:p w14:paraId="25B7A42D" w14:textId="77777777" w:rsidR="00094E94" w:rsidRDefault="00094E94" w:rsidP="00002353">
            <w:pPr>
              <w:rPr>
                <w:rFonts w:ascii="Times New Roman" w:hAnsi="Times New Roman" w:cs="Times New Roman"/>
                <w:b/>
                <w:strike/>
              </w:rPr>
            </w:pPr>
          </w:p>
          <w:p w14:paraId="66C3E215" w14:textId="77777777" w:rsidR="00094E94" w:rsidRDefault="00094E94" w:rsidP="00002353">
            <w:pPr>
              <w:rPr>
                <w:rFonts w:ascii="Times New Roman" w:hAnsi="Times New Roman" w:cs="Times New Roman"/>
                <w:b/>
                <w:strike/>
              </w:rPr>
            </w:pPr>
          </w:p>
          <w:p w14:paraId="3E1263E0" w14:textId="77777777" w:rsidR="00094E94" w:rsidRDefault="00094E94" w:rsidP="00002353">
            <w:pPr>
              <w:rPr>
                <w:rFonts w:ascii="Times New Roman" w:hAnsi="Times New Roman" w:cs="Times New Roman"/>
                <w:b/>
                <w:strike/>
              </w:rPr>
            </w:pPr>
          </w:p>
          <w:p w14:paraId="09E21A99" w14:textId="77777777" w:rsidR="00094E94" w:rsidRDefault="00094E94" w:rsidP="00002353">
            <w:pPr>
              <w:rPr>
                <w:rFonts w:ascii="Times New Roman" w:hAnsi="Times New Roman" w:cs="Times New Roman"/>
                <w:b/>
                <w:strike/>
              </w:rPr>
            </w:pPr>
          </w:p>
          <w:p w14:paraId="56F8141C" w14:textId="77777777" w:rsidR="00094E94" w:rsidRDefault="00094E94" w:rsidP="00002353">
            <w:pPr>
              <w:rPr>
                <w:rFonts w:ascii="Times New Roman" w:hAnsi="Times New Roman" w:cs="Times New Roman"/>
                <w:b/>
                <w:strike/>
              </w:rPr>
            </w:pPr>
          </w:p>
          <w:p w14:paraId="575B092E" w14:textId="77777777" w:rsidR="00094E94" w:rsidRDefault="00094E94" w:rsidP="00002353">
            <w:pPr>
              <w:rPr>
                <w:rFonts w:ascii="Times New Roman" w:hAnsi="Times New Roman" w:cs="Times New Roman"/>
                <w:b/>
                <w:strike/>
              </w:rPr>
            </w:pPr>
          </w:p>
          <w:p w14:paraId="6167B7FD" w14:textId="77777777" w:rsidR="00094E94" w:rsidRDefault="00094E94" w:rsidP="00002353">
            <w:pPr>
              <w:rPr>
                <w:rFonts w:ascii="Times New Roman" w:hAnsi="Times New Roman" w:cs="Times New Roman"/>
                <w:b/>
                <w:strike/>
              </w:rPr>
            </w:pPr>
          </w:p>
          <w:p w14:paraId="1F184F41" w14:textId="77777777" w:rsidR="00094E94" w:rsidRDefault="00094E94" w:rsidP="00002353">
            <w:pPr>
              <w:rPr>
                <w:rFonts w:ascii="Times New Roman" w:hAnsi="Times New Roman" w:cs="Times New Roman"/>
                <w:b/>
                <w:strike/>
              </w:rPr>
            </w:pPr>
          </w:p>
          <w:p w14:paraId="18124DBE" w14:textId="77777777" w:rsidR="00094E94" w:rsidRDefault="00094E94" w:rsidP="00002353">
            <w:pPr>
              <w:rPr>
                <w:rFonts w:ascii="Times New Roman" w:hAnsi="Times New Roman" w:cs="Times New Roman"/>
                <w:b/>
                <w:strike/>
              </w:rPr>
            </w:pPr>
          </w:p>
          <w:p w14:paraId="7108715B" w14:textId="77777777" w:rsidR="00094E94" w:rsidRDefault="00094E94" w:rsidP="00002353">
            <w:pPr>
              <w:rPr>
                <w:rFonts w:ascii="Times New Roman" w:hAnsi="Times New Roman" w:cs="Times New Roman"/>
                <w:b/>
                <w:strike/>
              </w:rPr>
            </w:pPr>
          </w:p>
          <w:p w14:paraId="2E71B537" w14:textId="77777777" w:rsidR="00094E94" w:rsidRDefault="00094E94" w:rsidP="00002353">
            <w:pPr>
              <w:rPr>
                <w:rFonts w:ascii="Times New Roman" w:hAnsi="Times New Roman" w:cs="Times New Roman"/>
                <w:b/>
                <w:strike/>
              </w:rPr>
            </w:pPr>
          </w:p>
          <w:p w14:paraId="0450AE32" w14:textId="77777777" w:rsidR="00094E94" w:rsidRDefault="00094E94" w:rsidP="00002353">
            <w:pPr>
              <w:rPr>
                <w:rFonts w:ascii="Times New Roman" w:hAnsi="Times New Roman" w:cs="Times New Roman"/>
                <w:b/>
                <w:strike/>
              </w:rPr>
            </w:pPr>
          </w:p>
          <w:p w14:paraId="34FD625B" w14:textId="77777777" w:rsidR="00094E94" w:rsidRDefault="00094E94" w:rsidP="00002353">
            <w:pPr>
              <w:rPr>
                <w:rFonts w:ascii="Times New Roman" w:hAnsi="Times New Roman" w:cs="Times New Roman"/>
                <w:b/>
                <w:strike/>
              </w:rPr>
            </w:pPr>
          </w:p>
          <w:p w14:paraId="2CAA856B" w14:textId="77777777" w:rsidR="00094E94" w:rsidRDefault="00094E94" w:rsidP="00002353">
            <w:pPr>
              <w:rPr>
                <w:rFonts w:ascii="Times New Roman" w:hAnsi="Times New Roman" w:cs="Times New Roman"/>
                <w:b/>
                <w:strike/>
              </w:rPr>
            </w:pPr>
          </w:p>
          <w:p w14:paraId="6C4EC0EE" w14:textId="77777777" w:rsidR="00094E94" w:rsidRDefault="00094E94" w:rsidP="00002353">
            <w:pPr>
              <w:rPr>
                <w:rFonts w:ascii="Times New Roman" w:hAnsi="Times New Roman" w:cs="Times New Roman"/>
                <w:b/>
                <w:strike/>
              </w:rPr>
            </w:pPr>
          </w:p>
          <w:p w14:paraId="1EE4B8B4" w14:textId="77777777" w:rsidR="00094E94" w:rsidRDefault="00094E94" w:rsidP="00002353">
            <w:pPr>
              <w:rPr>
                <w:rFonts w:ascii="Times New Roman" w:hAnsi="Times New Roman" w:cs="Times New Roman"/>
                <w:b/>
                <w:strike/>
              </w:rPr>
            </w:pPr>
          </w:p>
          <w:p w14:paraId="41D3E716" w14:textId="77777777" w:rsidR="00094E94" w:rsidRDefault="00094E94" w:rsidP="00002353">
            <w:pPr>
              <w:rPr>
                <w:rFonts w:ascii="Times New Roman" w:hAnsi="Times New Roman" w:cs="Times New Roman"/>
                <w:b/>
                <w:strike/>
              </w:rPr>
            </w:pPr>
          </w:p>
          <w:p w14:paraId="51311901" w14:textId="77777777" w:rsidR="00094E94" w:rsidRDefault="00094E94" w:rsidP="00002353">
            <w:pPr>
              <w:rPr>
                <w:rFonts w:ascii="Times New Roman" w:hAnsi="Times New Roman" w:cs="Times New Roman"/>
                <w:b/>
                <w:strike/>
              </w:rPr>
            </w:pPr>
          </w:p>
          <w:p w14:paraId="04C36710" w14:textId="77777777" w:rsidR="00094E94" w:rsidRDefault="00094E94" w:rsidP="00002353">
            <w:pPr>
              <w:rPr>
                <w:rFonts w:ascii="Times New Roman" w:hAnsi="Times New Roman" w:cs="Times New Roman"/>
                <w:b/>
                <w:strike/>
              </w:rPr>
            </w:pPr>
          </w:p>
          <w:p w14:paraId="0875C8E7" w14:textId="77777777" w:rsidR="00094E94" w:rsidRDefault="00094E94" w:rsidP="00002353">
            <w:pPr>
              <w:rPr>
                <w:rFonts w:ascii="Times New Roman" w:hAnsi="Times New Roman" w:cs="Times New Roman"/>
                <w:b/>
                <w:strike/>
              </w:rPr>
            </w:pPr>
          </w:p>
          <w:p w14:paraId="50803FDE" w14:textId="77777777" w:rsidR="00094E94" w:rsidRDefault="00094E94" w:rsidP="00002353">
            <w:pPr>
              <w:rPr>
                <w:rFonts w:ascii="Times New Roman" w:hAnsi="Times New Roman" w:cs="Times New Roman"/>
                <w:b/>
                <w:strike/>
              </w:rPr>
            </w:pPr>
          </w:p>
          <w:p w14:paraId="35B17F4B" w14:textId="77777777" w:rsidR="00094E94" w:rsidRDefault="00094E94" w:rsidP="00002353">
            <w:pPr>
              <w:rPr>
                <w:rFonts w:ascii="Times New Roman" w:hAnsi="Times New Roman" w:cs="Times New Roman"/>
                <w:b/>
                <w:strike/>
              </w:rPr>
            </w:pPr>
          </w:p>
          <w:p w14:paraId="781589C9" w14:textId="77777777" w:rsidR="00094E94" w:rsidRDefault="00094E94" w:rsidP="00002353">
            <w:pPr>
              <w:rPr>
                <w:rFonts w:ascii="Times New Roman" w:hAnsi="Times New Roman" w:cs="Times New Roman"/>
                <w:b/>
                <w:strike/>
              </w:rPr>
            </w:pPr>
          </w:p>
          <w:p w14:paraId="449B4525" w14:textId="77777777" w:rsidR="00094E94" w:rsidRDefault="00094E94" w:rsidP="00002353">
            <w:pPr>
              <w:rPr>
                <w:rFonts w:ascii="Times New Roman" w:hAnsi="Times New Roman" w:cs="Times New Roman"/>
                <w:b/>
                <w:strike/>
              </w:rPr>
            </w:pPr>
          </w:p>
          <w:p w14:paraId="28AF6209" w14:textId="77777777" w:rsidR="00094E94" w:rsidRDefault="00094E94" w:rsidP="00002353">
            <w:pPr>
              <w:rPr>
                <w:rFonts w:ascii="Times New Roman" w:hAnsi="Times New Roman" w:cs="Times New Roman"/>
                <w:b/>
                <w:strike/>
              </w:rPr>
            </w:pPr>
          </w:p>
          <w:p w14:paraId="11617052" w14:textId="77777777" w:rsidR="00094E94" w:rsidRDefault="00094E94" w:rsidP="00002353">
            <w:pPr>
              <w:rPr>
                <w:rFonts w:ascii="Times New Roman" w:hAnsi="Times New Roman" w:cs="Times New Roman"/>
                <w:b/>
                <w:strike/>
              </w:rPr>
            </w:pPr>
          </w:p>
          <w:p w14:paraId="4C6E6C72" w14:textId="77777777" w:rsidR="00094E94" w:rsidRDefault="00094E94" w:rsidP="00002353">
            <w:pPr>
              <w:rPr>
                <w:rFonts w:ascii="Times New Roman" w:hAnsi="Times New Roman" w:cs="Times New Roman"/>
                <w:b/>
                <w:strike/>
              </w:rPr>
            </w:pPr>
          </w:p>
          <w:p w14:paraId="03D6632B" w14:textId="77777777" w:rsidR="00094E94" w:rsidRDefault="00094E94" w:rsidP="00002353">
            <w:pPr>
              <w:rPr>
                <w:rFonts w:ascii="Times New Roman" w:hAnsi="Times New Roman" w:cs="Times New Roman"/>
                <w:b/>
                <w:strike/>
              </w:rPr>
            </w:pPr>
          </w:p>
          <w:p w14:paraId="6E7DCD4E" w14:textId="77777777" w:rsidR="00094E94" w:rsidRDefault="00094E94" w:rsidP="00002353">
            <w:pPr>
              <w:rPr>
                <w:rFonts w:ascii="Times New Roman" w:hAnsi="Times New Roman" w:cs="Times New Roman"/>
                <w:b/>
                <w:strike/>
              </w:rPr>
            </w:pPr>
          </w:p>
          <w:p w14:paraId="2FD73636" w14:textId="77777777" w:rsidR="00094E94" w:rsidRDefault="00094E94" w:rsidP="00002353">
            <w:pPr>
              <w:rPr>
                <w:rFonts w:ascii="Times New Roman" w:hAnsi="Times New Roman" w:cs="Times New Roman"/>
                <w:b/>
                <w:strike/>
              </w:rPr>
            </w:pPr>
          </w:p>
          <w:p w14:paraId="47D929E3" w14:textId="77777777" w:rsidR="00094E94" w:rsidRDefault="00094E94" w:rsidP="00002353">
            <w:pPr>
              <w:rPr>
                <w:rFonts w:ascii="Times New Roman" w:hAnsi="Times New Roman" w:cs="Times New Roman"/>
                <w:b/>
                <w:strike/>
              </w:rPr>
            </w:pPr>
          </w:p>
          <w:p w14:paraId="42E7E3DF" w14:textId="77777777" w:rsidR="00094E94" w:rsidRDefault="00094E94" w:rsidP="00002353">
            <w:pPr>
              <w:rPr>
                <w:rFonts w:ascii="Times New Roman" w:hAnsi="Times New Roman" w:cs="Times New Roman"/>
                <w:b/>
                <w:strike/>
              </w:rPr>
            </w:pPr>
          </w:p>
          <w:p w14:paraId="70D36AD4" w14:textId="77777777" w:rsidR="00094E94" w:rsidRDefault="00094E94" w:rsidP="00002353">
            <w:pPr>
              <w:rPr>
                <w:rFonts w:ascii="Times New Roman" w:hAnsi="Times New Roman" w:cs="Times New Roman"/>
                <w:b/>
                <w:strike/>
              </w:rPr>
            </w:pPr>
          </w:p>
          <w:p w14:paraId="6194B88E" w14:textId="77777777" w:rsidR="00094E94" w:rsidRDefault="00094E94" w:rsidP="00002353">
            <w:pPr>
              <w:rPr>
                <w:rFonts w:ascii="Times New Roman" w:hAnsi="Times New Roman" w:cs="Times New Roman"/>
                <w:b/>
                <w:strike/>
              </w:rPr>
            </w:pPr>
          </w:p>
          <w:p w14:paraId="397E56D7" w14:textId="77777777" w:rsidR="00094E94" w:rsidRDefault="00094E94" w:rsidP="00002353">
            <w:pPr>
              <w:rPr>
                <w:rFonts w:ascii="Times New Roman" w:hAnsi="Times New Roman" w:cs="Times New Roman"/>
                <w:b/>
                <w:strike/>
              </w:rPr>
            </w:pPr>
          </w:p>
          <w:p w14:paraId="3BC36B3F" w14:textId="77777777" w:rsidR="00094E94" w:rsidRDefault="00094E94" w:rsidP="00002353">
            <w:pPr>
              <w:rPr>
                <w:rFonts w:ascii="Times New Roman" w:hAnsi="Times New Roman" w:cs="Times New Roman"/>
                <w:b/>
                <w:strike/>
              </w:rPr>
            </w:pPr>
          </w:p>
          <w:p w14:paraId="4763E4FC" w14:textId="77777777" w:rsidR="00094E94" w:rsidRDefault="00094E94" w:rsidP="00002353">
            <w:pPr>
              <w:rPr>
                <w:rFonts w:ascii="Times New Roman" w:hAnsi="Times New Roman" w:cs="Times New Roman"/>
                <w:b/>
                <w:strike/>
              </w:rPr>
            </w:pPr>
          </w:p>
          <w:p w14:paraId="69E7A51E" w14:textId="77777777" w:rsidR="00094E94" w:rsidRDefault="00094E94" w:rsidP="00002353">
            <w:pPr>
              <w:rPr>
                <w:rFonts w:ascii="Times New Roman" w:hAnsi="Times New Roman" w:cs="Times New Roman"/>
                <w:b/>
                <w:strike/>
              </w:rPr>
            </w:pPr>
          </w:p>
          <w:p w14:paraId="4AC762DE" w14:textId="77777777" w:rsidR="00094E94" w:rsidRDefault="00094E94" w:rsidP="00002353">
            <w:pPr>
              <w:rPr>
                <w:rFonts w:ascii="Times New Roman" w:hAnsi="Times New Roman" w:cs="Times New Roman"/>
                <w:b/>
                <w:strike/>
              </w:rPr>
            </w:pPr>
          </w:p>
          <w:p w14:paraId="5906FE6E" w14:textId="77777777" w:rsidR="00094E94" w:rsidRDefault="00094E94" w:rsidP="00002353">
            <w:pPr>
              <w:rPr>
                <w:rFonts w:ascii="Times New Roman" w:hAnsi="Times New Roman" w:cs="Times New Roman"/>
                <w:b/>
                <w:strike/>
              </w:rPr>
            </w:pPr>
          </w:p>
          <w:p w14:paraId="61B4164C" w14:textId="77777777" w:rsidR="00094E94" w:rsidRDefault="00094E94" w:rsidP="00002353">
            <w:pPr>
              <w:rPr>
                <w:rFonts w:ascii="Times New Roman" w:hAnsi="Times New Roman" w:cs="Times New Roman"/>
                <w:b/>
                <w:strike/>
              </w:rPr>
            </w:pPr>
          </w:p>
          <w:p w14:paraId="24355311" w14:textId="77777777" w:rsidR="00094E94" w:rsidRDefault="00094E94" w:rsidP="00002353">
            <w:pPr>
              <w:rPr>
                <w:rFonts w:ascii="Times New Roman" w:hAnsi="Times New Roman" w:cs="Times New Roman"/>
                <w:b/>
                <w:strike/>
              </w:rPr>
            </w:pPr>
          </w:p>
          <w:p w14:paraId="6FB57DBB" w14:textId="77777777" w:rsidR="00094E94" w:rsidRDefault="00094E94" w:rsidP="00002353">
            <w:pPr>
              <w:rPr>
                <w:rFonts w:ascii="Times New Roman" w:hAnsi="Times New Roman" w:cs="Times New Roman"/>
                <w:b/>
                <w:strike/>
              </w:rPr>
            </w:pPr>
          </w:p>
          <w:p w14:paraId="0161149C" w14:textId="77777777" w:rsidR="00094E94" w:rsidRDefault="00094E94" w:rsidP="00002353">
            <w:pPr>
              <w:rPr>
                <w:rFonts w:ascii="Times New Roman" w:hAnsi="Times New Roman" w:cs="Times New Roman"/>
                <w:b/>
                <w:strike/>
              </w:rPr>
            </w:pPr>
          </w:p>
          <w:p w14:paraId="7F141C1F" w14:textId="77777777" w:rsidR="00094E94" w:rsidRDefault="00094E94" w:rsidP="00002353">
            <w:pPr>
              <w:rPr>
                <w:rFonts w:ascii="Times New Roman" w:hAnsi="Times New Roman" w:cs="Times New Roman"/>
                <w:b/>
                <w:strike/>
              </w:rPr>
            </w:pPr>
          </w:p>
          <w:p w14:paraId="117A2183" w14:textId="77777777" w:rsidR="00094E94" w:rsidRDefault="00094E94" w:rsidP="00002353">
            <w:pPr>
              <w:rPr>
                <w:rFonts w:ascii="Times New Roman" w:hAnsi="Times New Roman" w:cs="Times New Roman"/>
                <w:b/>
                <w:strike/>
              </w:rPr>
            </w:pPr>
          </w:p>
          <w:p w14:paraId="45A17CDB" w14:textId="77777777" w:rsidR="00094E94" w:rsidRDefault="00094E94" w:rsidP="00002353">
            <w:pPr>
              <w:rPr>
                <w:rFonts w:ascii="Times New Roman" w:hAnsi="Times New Roman" w:cs="Times New Roman"/>
                <w:b/>
                <w:strike/>
              </w:rPr>
            </w:pPr>
          </w:p>
          <w:p w14:paraId="2999BF2B" w14:textId="77777777" w:rsidR="00094E94" w:rsidRDefault="00094E94" w:rsidP="00002353">
            <w:pPr>
              <w:rPr>
                <w:rFonts w:ascii="Times New Roman" w:hAnsi="Times New Roman" w:cs="Times New Roman"/>
                <w:b/>
                <w:strike/>
              </w:rPr>
            </w:pPr>
          </w:p>
          <w:p w14:paraId="7A02A1CA" w14:textId="77777777" w:rsidR="00094E94" w:rsidRDefault="00094E94" w:rsidP="00002353">
            <w:pPr>
              <w:rPr>
                <w:rFonts w:ascii="Times New Roman" w:hAnsi="Times New Roman" w:cs="Times New Roman"/>
                <w:b/>
                <w:strike/>
              </w:rPr>
            </w:pPr>
          </w:p>
          <w:p w14:paraId="3E32926A" w14:textId="77777777" w:rsidR="00094E94" w:rsidRDefault="00094E94" w:rsidP="00002353">
            <w:pPr>
              <w:rPr>
                <w:rFonts w:ascii="Times New Roman" w:hAnsi="Times New Roman" w:cs="Times New Roman"/>
                <w:b/>
                <w:strike/>
              </w:rPr>
            </w:pPr>
          </w:p>
          <w:p w14:paraId="51D7372B" w14:textId="77777777" w:rsidR="00094E94" w:rsidRDefault="00094E94" w:rsidP="00002353">
            <w:pPr>
              <w:rPr>
                <w:rFonts w:ascii="Times New Roman" w:hAnsi="Times New Roman" w:cs="Times New Roman"/>
                <w:b/>
                <w:strike/>
              </w:rPr>
            </w:pPr>
          </w:p>
          <w:p w14:paraId="7C95D183" w14:textId="77777777" w:rsidR="00094E94" w:rsidRDefault="00094E94" w:rsidP="00002353">
            <w:pPr>
              <w:rPr>
                <w:rFonts w:ascii="Times New Roman" w:hAnsi="Times New Roman" w:cs="Times New Roman"/>
                <w:b/>
                <w:strike/>
              </w:rPr>
            </w:pPr>
          </w:p>
          <w:p w14:paraId="26BD9765" w14:textId="77777777" w:rsidR="00094E94" w:rsidRDefault="00094E94" w:rsidP="00002353">
            <w:pPr>
              <w:rPr>
                <w:rFonts w:ascii="Times New Roman" w:hAnsi="Times New Roman" w:cs="Times New Roman"/>
                <w:b/>
                <w:strike/>
              </w:rPr>
            </w:pPr>
          </w:p>
          <w:p w14:paraId="22E8A92F" w14:textId="77777777" w:rsidR="00094E94" w:rsidRDefault="00094E94" w:rsidP="00002353">
            <w:pPr>
              <w:rPr>
                <w:rFonts w:ascii="Times New Roman" w:hAnsi="Times New Roman" w:cs="Times New Roman"/>
                <w:b/>
                <w:strike/>
              </w:rPr>
            </w:pPr>
          </w:p>
          <w:p w14:paraId="24698498" w14:textId="77777777" w:rsidR="00094E94" w:rsidRDefault="00094E94" w:rsidP="00002353">
            <w:pPr>
              <w:rPr>
                <w:rFonts w:ascii="Times New Roman" w:hAnsi="Times New Roman" w:cs="Times New Roman"/>
                <w:b/>
                <w:strike/>
              </w:rPr>
            </w:pPr>
          </w:p>
          <w:p w14:paraId="37CEEDAB" w14:textId="77777777" w:rsidR="00094E94" w:rsidRDefault="00094E94" w:rsidP="00002353">
            <w:pPr>
              <w:rPr>
                <w:rFonts w:ascii="Times New Roman" w:hAnsi="Times New Roman" w:cs="Times New Roman"/>
                <w:b/>
                <w:strike/>
              </w:rPr>
            </w:pPr>
          </w:p>
          <w:p w14:paraId="16D50194" w14:textId="77777777" w:rsidR="00094E94" w:rsidRDefault="00094E94" w:rsidP="00002353">
            <w:pPr>
              <w:rPr>
                <w:rFonts w:ascii="Times New Roman" w:hAnsi="Times New Roman" w:cs="Times New Roman"/>
                <w:b/>
                <w:strike/>
              </w:rPr>
            </w:pPr>
          </w:p>
          <w:p w14:paraId="12959D06" w14:textId="77777777" w:rsidR="00094E94" w:rsidRDefault="00094E94" w:rsidP="00002353">
            <w:pPr>
              <w:rPr>
                <w:rFonts w:ascii="Times New Roman" w:hAnsi="Times New Roman" w:cs="Times New Roman"/>
                <w:b/>
                <w:strike/>
              </w:rPr>
            </w:pPr>
          </w:p>
          <w:p w14:paraId="27276AEC" w14:textId="77777777" w:rsidR="00094E94" w:rsidRDefault="00094E94" w:rsidP="00002353">
            <w:pPr>
              <w:rPr>
                <w:rFonts w:ascii="Times New Roman" w:hAnsi="Times New Roman" w:cs="Times New Roman"/>
                <w:b/>
                <w:strike/>
              </w:rPr>
            </w:pPr>
          </w:p>
          <w:p w14:paraId="10CB90AA" w14:textId="77777777" w:rsidR="00094E94" w:rsidRDefault="00094E94" w:rsidP="00002353">
            <w:pPr>
              <w:rPr>
                <w:rFonts w:ascii="Times New Roman" w:hAnsi="Times New Roman" w:cs="Times New Roman"/>
                <w:b/>
                <w:strike/>
              </w:rPr>
            </w:pPr>
          </w:p>
          <w:p w14:paraId="0C8F6F6B" w14:textId="77777777" w:rsidR="00094E94" w:rsidRDefault="00094E94" w:rsidP="00002353">
            <w:pPr>
              <w:rPr>
                <w:rFonts w:ascii="Times New Roman" w:hAnsi="Times New Roman" w:cs="Times New Roman"/>
                <w:b/>
                <w:strike/>
              </w:rPr>
            </w:pPr>
          </w:p>
          <w:p w14:paraId="4DB57BF7" w14:textId="77777777" w:rsidR="00094E94" w:rsidRDefault="00094E94" w:rsidP="00002353">
            <w:pPr>
              <w:rPr>
                <w:rFonts w:ascii="Times New Roman" w:hAnsi="Times New Roman" w:cs="Times New Roman"/>
                <w:b/>
                <w:strike/>
              </w:rPr>
            </w:pPr>
          </w:p>
          <w:p w14:paraId="289100BF" w14:textId="77777777" w:rsidR="00094E94" w:rsidRDefault="00094E94" w:rsidP="00002353">
            <w:pPr>
              <w:rPr>
                <w:rFonts w:ascii="Times New Roman" w:hAnsi="Times New Roman" w:cs="Times New Roman"/>
                <w:b/>
                <w:strike/>
              </w:rPr>
            </w:pPr>
          </w:p>
          <w:p w14:paraId="046EE05B" w14:textId="77777777" w:rsidR="00094E94" w:rsidRDefault="00094E94" w:rsidP="00002353">
            <w:pPr>
              <w:rPr>
                <w:rFonts w:ascii="Times New Roman" w:hAnsi="Times New Roman" w:cs="Times New Roman"/>
                <w:b/>
                <w:strike/>
              </w:rPr>
            </w:pPr>
          </w:p>
          <w:p w14:paraId="51468A10" w14:textId="77777777" w:rsidR="00094E94" w:rsidRDefault="00094E94" w:rsidP="00002353">
            <w:pPr>
              <w:rPr>
                <w:rFonts w:ascii="Times New Roman" w:hAnsi="Times New Roman" w:cs="Times New Roman"/>
                <w:b/>
                <w:strike/>
              </w:rPr>
            </w:pPr>
          </w:p>
          <w:p w14:paraId="0FEEB715" w14:textId="77777777" w:rsidR="00094E94" w:rsidRDefault="00094E94" w:rsidP="00002353">
            <w:pPr>
              <w:rPr>
                <w:rFonts w:ascii="Times New Roman" w:hAnsi="Times New Roman" w:cs="Times New Roman"/>
                <w:b/>
                <w:strike/>
              </w:rPr>
            </w:pPr>
          </w:p>
          <w:p w14:paraId="11B6EB50" w14:textId="77777777" w:rsidR="00094E94" w:rsidRDefault="00094E94" w:rsidP="00002353">
            <w:pPr>
              <w:rPr>
                <w:rFonts w:ascii="Times New Roman" w:hAnsi="Times New Roman" w:cs="Times New Roman"/>
                <w:b/>
                <w:strike/>
              </w:rPr>
            </w:pPr>
          </w:p>
          <w:p w14:paraId="673728B7" w14:textId="77777777" w:rsidR="00094E94" w:rsidRDefault="00094E94" w:rsidP="00002353">
            <w:pPr>
              <w:rPr>
                <w:rFonts w:ascii="Times New Roman" w:hAnsi="Times New Roman" w:cs="Times New Roman"/>
                <w:b/>
                <w:strike/>
              </w:rPr>
            </w:pPr>
          </w:p>
          <w:p w14:paraId="1175C91D" w14:textId="77777777" w:rsidR="00094E94" w:rsidRDefault="00094E94" w:rsidP="00002353">
            <w:pPr>
              <w:rPr>
                <w:rFonts w:ascii="Times New Roman" w:hAnsi="Times New Roman" w:cs="Times New Roman"/>
                <w:b/>
                <w:strike/>
              </w:rPr>
            </w:pPr>
          </w:p>
          <w:p w14:paraId="1C9E1278" w14:textId="77777777" w:rsidR="00094E94" w:rsidRDefault="00094E94" w:rsidP="00002353">
            <w:pPr>
              <w:rPr>
                <w:rFonts w:ascii="Times New Roman" w:hAnsi="Times New Roman" w:cs="Times New Roman"/>
                <w:b/>
                <w:strike/>
              </w:rPr>
            </w:pPr>
          </w:p>
          <w:p w14:paraId="1C89B9BB" w14:textId="77777777" w:rsidR="00094E94" w:rsidRDefault="00094E94" w:rsidP="00002353">
            <w:pPr>
              <w:rPr>
                <w:rFonts w:ascii="Times New Roman" w:hAnsi="Times New Roman" w:cs="Times New Roman"/>
                <w:b/>
                <w:strike/>
              </w:rPr>
            </w:pPr>
          </w:p>
          <w:p w14:paraId="2381E7E2" w14:textId="77777777" w:rsidR="00094E94" w:rsidRDefault="00094E94" w:rsidP="00002353">
            <w:pPr>
              <w:rPr>
                <w:rFonts w:ascii="Times New Roman" w:hAnsi="Times New Roman" w:cs="Times New Roman"/>
                <w:b/>
                <w:strike/>
              </w:rPr>
            </w:pPr>
          </w:p>
          <w:p w14:paraId="0AA09774" w14:textId="77777777" w:rsidR="00094E94" w:rsidRDefault="00094E94" w:rsidP="00002353">
            <w:pPr>
              <w:rPr>
                <w:rFonts w:ascii="Times New Roman" w:hAnsi="Times New Roman" w:cs="Times New Roman"/>
                <w:b/>
                <w:strike/>
              </w:rPr>
            </w:pPr>
          </w:p>
          <w:p w14:paraId="7BA23C00" w14:textId="77777777" w:rsidR="00094E94" w:rsidRDefault="00094E94" w:rsidP="00002353">
            <w:pPr>
              <w:rPr>
                <w:rFonts w:ascii="Times New Roman" w:hAnsi="Times New Roman" w:cs="Times New Roman"/>
                <w:b/>
                <w:strike/>
              </w:rPr>
            </w:pPr>
          </w:p>
          <w:p w14:paraId="77EE0A7B" w14:textId="77777777" w:rsidR="00094E94" w:rsidRDefault="00094E94" w:rsidP="00002353">
            <w:pPr>
              <w:rPr>
                <w:rFonts w:ascii="Times New Roman" w:hAnsi="Times New Roman" w:cs="Times New Roman"/>
                <w:b/>
                <w:strike/>
              </w:rPr>
            </w:pPr>
          </w:p>
          <w:p w14:paraId="7D2D0685" w14:textId="77777777" w:rsidR="00094E94" w:rsidRDefault="00094E94" w:rsidP="00002353">
            <w:pPr>
              <w:rPr>
                <w:rFonts w:ascii="Times New Roman" w:hAnsi="Times New Roman" w:cs="Times New Roman"/>
                <w:b/>
                <w:strike/>
              </w:rPr>
            </w:pPr>
          </w:p>
          <w:p w14:paraId="5AFC0E81" w14:textId="77777777" w:rsidR="00094E94" w:rsidRDefault="00094E94" w:rsidP="00002353">
            <w:pPr>
              <w:rPr>
                <w:rFonts w:ascii="Times New Roman" w:hAnsi="Times New Roman" w:cs="Times New Roman"/>
                <w:b/>
                <w:strike/>
              </w:rPr>
            </w:pPr>
          </w:p>
          <w:p w14:paraId="3411E8C3" w14:textId="77777777" w:rsidR="00094E94" w:rsidRDefault="00094E94" w:rsidP="00002353">
            <w:pPr>
              <w:rPr>
                <w:rFonts w:ascii="Times New Roman" w:hAnsi="Times New Roman" w:cs="Times New Roman"/>
                <w:b/>
                <w:strike/>
              </w:rPr>
            </w:pPr>
          </w:p>
          <w:p w14:paraId="6AB4B3E8" w14:textId="77777777" w:rsidR="00094E94" w:rsidRDefault="00094E94" w:rsidP="00002353">
            <w:pPr>
              <w:rPr>
                <w:rFonts w:ascii="Times New Roman" w:hAnsi="Times New Roman" w:cs="Times New Roman"/>
                <w:b/>
                <w:strike/>
              </w:rPr>
            </w:pPr>
          </w:p>
          <w:p w14:paraId="4CD325A9" w14:textId="77777777" w:rsidR="00094E94" w:rsidRDefault="00094E94" w:rsidP="00002353">
            <w:pPr>
              <w:rPr>
                <w:rFonts w:ascii="Times New Roman" w:hAnsi="Times New Roman" w:cs="Times New Roman"/>
                <w:b/>
                <w:strike/>
              </w:rPr>
            </w:pPr>
          </w:p>
          <w:p w14:paraId="74BAB2F0" w14:textId="77777777" w:rsidR="00094E94" w:rsidRDefault="00094E94" w:rsidP="00002353">
            <w:pPr>
              <w:rPr>
                <w:rFonts w:ascii="Times New Roman" w:hAnsi="Times New Roman" w:cs="Times New Roman"/>
                <w:b/>
                <w:strike/>
              </w:rPr>
            </w:pPr>
          </w:p>
          <w:p w14:paraId="0692D8EA" w14:textId="77777777" w:rsidR="00094E94" w:rsidRDefault="00094E94" w:rsidP="00002353">
            <w:pPr>
              <w:rPr>
                <w:rFonts w:ascii="Times New Roman" w:hAnsi="Times New Roman" w:cs="Times New Roman"/>
                <w:b/>
                <w:strike/>
              </w:rPr>
            </w:pPr>
          </w:p>
          <w:p w14:paraId="4E0A4A92" w14:textId="77777777" w:rsidR="00094E94" w:rsidRDefault="00094E94" w:rsidP="00002353">
            <w:pPr>
              <w:rPr>
                <w:rFonts w:ascii="Times New Roman" w:hAnsi="Times New Roman" w:cs="Times New Roman"/>
                <w:b/>
                <w:strike/>
              </w:rPr>
            </w:pPr>
          </w:p>
          <w:p w14:paraId="346306CC" w14:textId="77777777" w:rsidR="00094E94" w:rsidRDefault="00094E94" w:rsidP="00002353">
            <w:pPr>
              <w:rPr>
                <w:rFonts w:ascii="Times New Roman" w:hAnsi="Times New Roman" w:cs="Times New Roman"/>
                <w:b/>
                <w:strike/>
              </w:rPr>
            </w:pPr>
          </w:p>
          <w:p w14:paraId="222C5AC8" w14:textId="77777777" w:rsidR="00094E94" w:rsidRDefault="00094E94" w:rsidP="00002353">
            <w:pPr>
              <w:rPr>
                <w:rFonts w:ascii="Times New Roman" w:hAnsi="Times New Roman" w:cs="Times New Roman"/>
                <w:b/>
                <w:strike/>
              </w:rPr>
            </w:pPr>
          </w:p>
          <w:p w14:paraId="093F45F1" w14:textId="77777777" w:rsidR="00094E94" w:rsidRDefault="00094E94" w:rsidP="00002353">
            <w:pPr>
              <w:rPr>
                <w:rFonts w:ascii="Times New Roman" w:hAnsi="Times New Roman" w:cs="Times New Roman"/>
                <w:b/>
                <w:strike/>
              </w:rPr>
            </w:pPr>
          </w:p>
          <w:p w14:paraId="2C2F1215" w14:textId="77777777" w:rsidR="00094E94" w:rsidRDefault="00094E94" w:rsidP="00002353">
            <w:pPr>
              <w:rPr>
                <w:rFonts w:ascii="Times New Roman" w:hAnsi="Times New Roman" w:cs="Times New Roman"/>
                <w:b/>
                <w:strike/>
              </w:rPr>
            </w:pPr>
          </w:p>
          <w:p w14:paraId="2BFF752F" w14:textId="77777777" w:rsidR="00094E94" w:rsidRDefault="00094E94" w:rsidP="00002353">
            <w:pPr>
              <w:rPr>
                <w:rFonts w:ascii="Times New Roman" w:hAnsi="Times New Roman" w:cs="Times New Roman"/>
                <w:b/>
                <w:strike/>
              </w:rPr>
            </w:pPr>
          </w:p>
          <w:p w14:paraId="552A1432" w14:textId="77777777" w:rsidR="00094E94" w:rsidRDefault="00094E94" w:rsidP="00002353">
            <w:pPr>
              <w:rPr>
                <w:rFonts w:ascii="Times New Roman" w:hAnsi="Times New Roman" w:cs="Times New Roman"/>
                <w:b/>
                <w:strike/>
              </w:rPr>
            </w:pPr>
          </w:p>
          <w:p w14:paraId="53B5DF5D" w14:textId="77777777" w:rsidR="00094E94" w:rsidRDefault="00094E94" w:rsidP="00002353">
            <w:pPr>
              <w:rPr>
                <w:rFonts w:ascii="Times New Roman" w:hAnsi="Times New Roman" w:cs="Times New Roman"/>
                <w:b/>
                <w:strike/>
              </w:rPr>
            </w:pPr>
          </w:p>
          <w:p w14:paraId="4CC91772" w14:textId="77777777" w:rsidR="00094E94" w:rsidRDefault="00094E94" w:rsidP="00002353">
            <w:pPr>
              <w:rPr>
                <w:rFonts w:ascii="Times New Roman" w:hAnsi="Times New Roman" w:cs="Times New Roman"/>
                <w:b/>
                <w:strike/>
              </w:rPr>
            </w:pPr>
          </w:p>
          <w:p w14:paraId="4F3A6931" w14:textId="77777777" w:rsidR="00094E94" w:rsidRDefault="00094E94" w:rsidP="00002353">
            <w:pPr>
              <w:rPr>
                <w:rFonts w:ascii="Times New Roman" w:hAnsi="Times New Roman" w:cs="Times New Roman"/>
                <w:b/>
                <w:strike/>
              </w:rPr>
            </w:pPr>
          </w:p>
          <w:p w14:paraId="1F0841E3" w14:textId="77777777" w:rsidR="00094E94" w:rsidRDefault="00094E94" w:rsidP="00002353">
            <w:pPr>
              <w:rPr>
                <w:rFonts w:ascii="Times New Roman" w:hAnsi="Times New Roman" w:cs="Times New Roman"/>
                <w:b/>
                <w:strike/>
              </w:rPr>
            </w:pPr>
          </w:p>
          <w:p w14:paraId="605DE11E" w14:textId="77777777" w:rsidR="00094E94" w:rsidRDefault="00094E94" w:rsidP="00002353">
            <w:pPr>
              <w:rPr>
                <w:rFonts w:ascii="Times New Roman" w:hAnsi="Times New Roman" w:cs="Times New Roman"/>
                <w:b/>
                <w:strike/>
              </w:rPr>
            </w:pPr>
          </w:p>
          <w:p w14:paraId="5B0E08B1" w14:textId="77777777" w:rsidR="00094E94" w:rsidRDefault="00094E94" w:rsidP="00002353">
            <w:pPr>
              <w:rPr>
                <w:rFonts w:ascii="Times New Roman" w:hAnsi="Times New Roman" w:cs="Times New Roman"/>
                <w:b/>
                <w:strike/>
              </w:rPr>
            </w:pPr>
          </w:p>
          <w:p w14:paraId="270A2B05" w14:textId="77777777" w:rsidR="00094E94" w:rsidRDefault="00094E94" w:rsidP="00002353">
            <w:pPr>
              <w:rPr>
                <w:rFonts w:ascii="Times New Roman" w:hAnsi="Times New Roman" w:cs="Times New Roman"/>
                <w:b/>
                <w:strike/>
              </w:rPr>
            </w:pPr>
          </w:p>
          <w:p w14:paraId="31A41569" w14:textId="77777777" w:rsidR="00094E94" w:rsidRDefault="00094E94" w:rsidP="00002353">
            <w:pPr>
              <w:rPr>
                <w:rFonts w:ascii="Times New Roman" w:hAnsi="Times New Roman" w:cs="Times New Roman"/>
                <w:b/>
                <w:strike/>
              </w:rPr>
            </w:pPr>
          </w:p>
          <w:p w14:paraId="7A89B8E8" w14:textId="77777777" w:rsidR="00094E94" w:rsidRDefault="00094E94" w:rsidP="00002353">
            <w:pPr>
              <w:rPr>
                <w:rFonts w:ascii="Times New Roman" w:hAnsi="Times New Roman" w:cs="Times New Roman"/>
                <w:b/>
                <w:strike/>
              </w:rPr>
            </w:pPr>
          </w:p>
          <w:p w14:paraId="3BED256B" w14:textId="77777777" w:rsidR="00094E94" w:rsidRDefault="00094E94" w:rsidP="00002353">
            <w:pPr>
              <w:rPr>
                <w:rFonts w:ascii="Times New Roman" w:hAnsi="Times New Roman" w:cs="Times New Roman"/>
                <w:b/>
                <w:strike/>
              </w:rPr>
            </w:pPr>
          </w:p>
          <w:p w14:paraId="78A176B6" w14:textId="77777777" w:rsidR="00094E94" w:rsidRDefault="00094E94" w:rsidP="00002353">
            <w:pPr>
              <w:rPr>
                <w:rFonts w:ascii="Times New Roman" w:hAnsi="Times New Roman" w:cs="Times New Roman"/>
                <w:b/>
                <w:strike/>
              </w:rPr>
            </w:pPr>
          </w:p>
          <w:p w14:paraId="673618A4" w14:textId="77777777" w:rsidR="00094E94" w:rsidRDefault="00094E94" w:rsidP="00002353">
            <w:pPr>
              <w:rPr>
                <w:rFonts w:ascii="Times New Roman" w:hAnsi="Times New Roman" w:cs="Times New Roman"/>
                <w:b/>
                <w:strike/>
              </w:rPr>
            </w:pPr>
          </w:p>
          <w:p w14:paraId="6A9DC2CE" w14:textId="77777777" w:rsidR="00094E94" w:rsidRDefault="00094E94" w:rsidP="00002353">
            <w:pPr>
              <w:rPr>
                <w:rFonts w:ascii="Times New Roman" w:hAnsi="Times New Roman" w:cs="Times New Roman"/>
                <w:b/>
                <w:strike/>
              </w:rPr>
            </w:pPr>
          </w:p>
          <w:p w14:paraId="644D3E8F" w14:textId="77777777" w:rsidR="00094E94" w:rsidRDefault="00094E94" w:rsidP="00002353">
            <w:pPr>
              <w:rPr>
                <w:rFonts w:ascii="Times New Roman" w:hAnsi="Times New Roman" w:cs="Times New Roman"/>
                <w:b/>
                <w:strike/>
              </w:rPr>
            </w:pPr>
          </w:p>
          <w:p w14:paraId="1AB38098" w14:textId="77777777" w:rsidR="00094E94" w:rsidRDefault="00094E94" w:rsidP="00002353">
            <w:pPr>
              <w:rPr>
                <w:rFonts w:ascii="Times New Roman" w:hAnsi="Times New Roman" w:cs="Times New Roman"/>
                <w:b/>
                <w:strike/>
              </w:rPr>
            </w:pPr>
          </w:p>
          <w:p w14:paraId="3AD521F7" w14:textId="77777777" w:rsidR="00094E94" w:rsidRDefault="00094E94" w:rsidP="00002353">
            <w:pPr>
              <w:rPr>
                <w:rFonts w:ascii="Times New Roman" w:hAnsi="Times New Roman" w:cs="Times New Roman"/>
                <w:b/>
                <w:strike/>
              </w:rPr>
            </w:pPr>
          </w:p>
          <w:p w14:paraId="0B1877DB" w14:textId="77777777" w:rsidR="00094E94" w:rsidRDefault="00094E94" w:rsidP="00002353">
            <w:pPr>
              <w:rPr>
                <w:rFonts w:ascii="Times New Roman" w:hAnsi="Times New Roman" w:cs="Times New Roman"/>
                <w:b/>
                <w:strike/>
              </w:rPr>
            </w:pPr>
          </w:p>
          <w:p w14:paraId="4ABF3271" w14:textId="77777777" w:rsidR="00094E94" w:rsidRDefault="00094E94" w:rsidP="00002353">
            <w:pPr>
              <w:rPr>
                <w:rFonts w:ascii="Times New Roman" w:hAnsi="Times New Roman" w:cs="Times New Roman"/>
                <w:b/>
                <w:strike/>
              </w:rPr>
            </w:pPr>
          </w:p>
          <w:p w14:paraId="07FAD805" w14:textId="77777777" w:rsidR="00094E94" w:rsidRDefault="00094E94" w:rsidP="00002353">
            <w:pPr>
              <w:rPr>
                <w:rFonts w:ascii="Times New Roman" w:hAnsi="Times New Roman" w:cs="Times New Roman"/>
                <w:b/>
                <w:strike/>
              </w:rPr>
            </w:pPr>
          </w:p>
          <w:p w14:paraId="0B3930C4" w14:textId="77777777" w:rsidR="00094E94" w:rsidRDefault="00094E94" w:rsidP="00002353">
            <w:pPr>
              <w:rPr>
                <w:rFonts w:ascii="Times New Roman" w:hAnsi="Times New Roman" w:cs="Times New Roman"/>
                <w:b/>
                <w:strike/>
              </w:rPr>
            </w:pPr>
          </w:p>
          <w:p w14:paraId="1277879B" w14:textId="77777777" w:rsidR="00094E94" w:rsidRDefault="00094E94" w:rsidP="00002353">
            <w:pPr>
              <w:rPr>
                <w:rFonts w:ascii="Times New Roman" w:hAnsi="Times New Roman" w:cs="Times New Roman"/>
                <w:b/>
                <w:strike/>
              </w:rPr>
            </w:pPr>
          </w:p>
          <w:p w14:paraId="47AA1D7F" w14:textId="77777777" w:rsidR="00094E94" w:rsidRDefault="00094E94" w:rsidP="00002353">
            <w:pPr>
              <w:rPr>
                <w:rFonts w:ascii="Times New Roman" w:hAnsi="Times New Roman" w:cs="Times New Roman"/>
                <w:b/>
                <w:strike/>
              </w:rPr>
            </w:pPr>
          </w:p>
          <w:p w14:paraId="30C7C340" w14:textId="77777777" w:rsidR="00094E94" w:rsidRDefault="00094E94" w:rsidP="00002353">
            <w:pPr>
              <w:rPr>
                <w:rFonts w:ascii="Times New Roman" w:hAnsi="Times New Roman" w:cs="Times New Roman"/>
                <w:b/>
                <w:strike/>
              </w:rPr>
            </w:pPr>
          </w:p>
          <w:p w14:paraId="0BA42DD7" w14:textId="77777777" w:rsidR="00094E94" w:rsidRDefault="00094E94" w:rsidP="00002353">
            <w:pPr>
              <w:rPr>
                <w:rFonts w:ascii="Times New Roman" w:hAnsi="Times New Roman" w:cs="Times New Roman"/>
                <w:b/>
                <w:strike/>
              </w:rPr>
            </w:pPr>
          </w:p>
          <w:p w14:paraId="144B3937" w14:textId="77777777" w:rsidR="00094E94" w:rsidRDefault="00094E94" w:rsidP="00002353">
            <w:pPr>
              <w:rPr>
                <w:rFonts w:ascii="Times New Roman" w:hAnsi="Times New Roman" w:cs="Times New Roman"/>
                <w:b/>
                <w:strike/>
              </w:rPr>
            </w:pPr>
          </w:p>
          <w:p w14:paraId="0C2BED9C" w14:textId="77777777" w:rsidR="00094E94" w:rsidRDefault="00094E94" w:rsidP="00002353">
            <w:pPr>
              <w:rPr>
                <w:rFonts w:ascii="Times New Roman" w:hAnsi="Times New Roman" w:cs="Times New Roman"/>
                <w:b/>
                <w:strike/>
              </w:rPr>
            </w:pPr>
          </w:p>
          <w:p w14:paraId="247BBB5F" w14:textId="77777777" w:rsidR="00094E94" w:rsidRDefault="00094E94" w:rsidP="00002353">
            <w:pPr>
              <w:rPr>
                <w:rFonts w:ascii="Times New Roman" w:hAnsi="Times New Roman" w:cs="Times New Roman"/>
                <w:b/>
                <w:strike/>
              </w:rPr>
            </w:pPr>
          </w:p>
          <w:p w14:paraId="7979013F" w14:textId="77777777" w:rsidR="00094E94" w:rsidRDefault="00094E94" w:rsidP="00002353">
            <w:pPr>
              <w:rPr>
                <w:rFonts w:ascii="Times New Roman" w:hAnsi="Times New Roman" w:cs="Times New Roman"/>
                <w:b/>
                <w:strike/>
              </w:rPr>
            </w:pPr>
          </w:p>
          <w:p w14:paraId="3C7F914F" w14:textId="77777777" w:rsidR="00094E94" w:rsidRDefault="00094E94" w:rsidP="00002353">
            <w:pPr>
              <w:rPr>
                <w:rFonts w:ascii="Times New Roman" w:hAnsi="Times New Roman" w:cs="Times New Roman"/>
                <w:b/>
                <w:strike/>
              </w:rPr>
            </w:pPr>
          </w:p>
          <w:p w14:paraId="79A8F1BA" w14:textId="77777777" w:rsidR="00094E94" w:rsidRDefault="00094E94" w:rsidP="00002353">
            <w:pPr>
              <w:rPr>
                <w:rFonts w:ascii="Times New Roman" w:hAnsi="Times New Roman" w:cs="Times New Roman"/>
                <w:b/>
                <w:strike/>
              </w:rPr>
            </w:pPr>
          </w:p>
          <w:p w14:paraId="153D414F" w14:textId="77777777" w:rsidR="00094E94" w:rsidRDefault="00094E94" w:rsidP="00002353">
            <w:pPr>
              <w:rPr>
                <w:rFonts w:ascii="Times New Roman" w:hAnsi="Times New Roman" w:cs="Times New Roman"/>
                <w:b/>
                <w:strike/>
              </w:rPr>
            </w:pPr>
          </w:p>
          <w:p w14:paraId="7C5DDD37" w14:textId="77777777" w:rsidR="00094E94" w:rsidRDefault="00094E94" w:rsidP="00002353">
            <w:pPr>
              <w:rPr>
                <w:rFonts w:ascii="Times New Roman" w:hAnsi="Times New Roman" w:cs="Times New Roman"/>
                <w:b/>
                <w:strike/>
              </w:rPr>
            </w:pPr>
          </w:p>
          <w:p w14:paraId="6CC9D408" w14:textId="77777777" w:rsidR="00094E94" w:rsidRDefault="00094E94" w:rsidP="00002353">
            <w:pPr>
              <w:rPr>
                <w:rFonts w:ascii="Times New Roman" w:hAnsi="Times New Roman" w:cs="Times New Roman"/>
                <w:b/>
                <w:strike/>
              </w:rPr>
            </w:pPr>
          </w:p>
          <w:p w14:paraId="1E23D468" w14:textId="77777777" w:rsidR="00094E94" w:rsidRDefault="00094E94" w:rsidP="00002353">
            <w:pPr>
              <w:rPr>
                <w:rFonts w:ascii="Times New Roman" w:hAnsi="Times New Roman" w:cs="Times New Roman"/>
                <w:b/>
                <w:strike/>
              </w:rPr>
            </w:pPr>
          </w:p>
          <w:p w14:paraId="74F79F2F" w14:textId="77777777" w:rsidR="00094E94" w:rsidRDefault="00094E94" w:rsidP="00002353">
            <w:pPr>
              <w:rPr>
                <w:rFonts w:ascii="Times New Roman" w:hAnsi="Times New Roman" w:cs="Times New Roman"/>
                <w:b/>
                <w:strike/>
              </w:rPr>
            </w:pPr>
          </w:p>
          <w:p w14:paraId="304F484E" w14:textId="77777777" w:rsidR="00094E94" w:rsidRDefault="00094E94" w:rsidP="00002353">
            <w:pPr>
              <w:rPr>
                <w:rFonts w:ascii="Times New Roman" w:hAnsi="Times New Roman" w:cs="Times New Roman"/>
                <w:b/>
                <w:strike/>
              </w:rPr>
            </w:pPr>
          </w:p>
          <w:p w14:paraId="458DDDC5" w14:textId="77777777" w:rsidR="00094E94" w:rsidRDefault="00094E94" w:rsidP="00002353">
            <w:pPr>
              <w:rPr>
                <w:rFonts w:ascii="Times New Roman" w:hAnsi="Times New Roman" w:cs="Times New Roman"/>
                <w:b/>
                <w:strike/>
              </w:rPr>
            </w:pPr>
          </w:p>
          <w:p w14:paraId="7FC1A877" w14:textId="77777777" w:rsidR="00094E94" w:rsidRDefault="00094E94" w:rsidP="00002353">
            <w:pPr>
              <w:rPr>
                <w:rFonts w:ascii="Times New Roman" w:hAnsi="Times New Roman" w:cs="Times New Roman"/>
                <w:b/>
                <w:strike/>
              </w:rPr>
            </w:pPr>
          </w:p>
          <w:p w14:paraId="2A17B0A8" w14:textId="77777777" w:rsidR="00094E94" w:rsidRDefault="00094E94" w:rsidP="00002353">
            <w:pPr>
              <w:rPr>
                <w:rFonts w:ascii="Times New Roman" w:hAnsi="Times New Roman" w:cs="Times New Roman"/>
                <w:b/>
                <w:strike/>
              </w:rPr>
            </w:pPr>
          </w:p>
          <w:p w14:paraId="7599C41F" w14:textId="77777777" w:rsidR="00094E94" w:rsidRDefault="00094E94" w:rsidP="00002353">
            <w:pPr>
              <w:rPr>
                <w:rFonts w:ascii="Times New Roman" w:hAnsi="Times New Roman" w:cs="Times New Roman"/>
                <w:b/>
                <w:strike/>
              </w:rPr>
            </w:pPr>
          </w:p>
          <w:p w14:paraId="257A6728" w14:textId="77777777" w:rsidR="00094E94" w:rsidRDefault="00094E94" w:rsidP="00002353">
            <w:pPr>
              <w:rPr>
                <w:rFonts w:ascii="Times New Roman" w:hAnsi="Times New Roman" w:cs="Times New Roman"/>
                <w:b/>
                <w:strike/>
              </w:rPr>
            </w:pPr>
          </w:p>
          <w:p w14:paraId="5D553148" w14:textId="77777777" w:rsidR="00094E94" w:rsidRDefault="00094E94" w:rsidP="00002353">
            <w:pPr>
              <w:rPr>
                <w:rFonts w:ascii="Times New Roman" w:hAnsi="Times New Roman" w:cs="Times New Roman"/>
                <w:b/>
                <w:strike/>
              </w:rPr>
            </w:pPr>
          </w:p>
          <w:p w14:paraId="349AEF50" w14:textId="77777777" w:rsidR="00094E94" w:rsidRDefault="00094E94" w:rsidP="00002353">
            <w:pPr>
              <w:rPr>
                <w:rFonts w:ascii="Times New Roman" w:hAnsi="Times New Roman" w:cs="Times New Roman"/>
                <w:b/>
                <w:strike/>
              </w:rPr>
            </w:pPr>
          </w:p>
          <w:p w14:paraId="23B2F8DC" w14:textId="77777777" w:rsidR="00094E94" w:rsidRDefault="00094E94" w:rsidP="00002353">
            <w:pPr>
              <w:rPr>
                <w:rFonts w:ascii="Times New Roman" w:hAnsi="Times New Roman" w:cs="Times New Roman"/>
                <w:b/>
                <w:strike/>
              </w:rPr>
            </w:pPr>
          </w:p>
          <w:p w14:paraId="75C2AE6B" w14:textId="77777777" w:rsidR="00094E94" w:rsidRDefault="00094E94" w:rsidP="00002353">
            <w:pPr>
              <w:rPr>
                <w:rFonts w:ascii="Times New Roman" w:hAnsi="Times New Roman" w:cs="Times New Roman"/>
                <w:b/>
                <w:strike/>
              </w:rPr>
            </w:pPr>
          </w:p>
          <w:p w14:paraId="44514419" w14:textId="77777777" w:rsidR="00094E94" w:rsidRDefault="00094E94" w:rsidP="00002353">
            <w:pPr>
              <w:rPr>
                <w:rFonts w:ascii="Times New Roman" w:hAnsi="Times New Roman" w:cs="Times New Roman"/>
                <w:b/>
                <w:strike/>
              </w:rPr>
            </w:pPr>
          </w:p>
          <w:p w14:paraId="456AEFAD" w14:textId="77777777" w:rsidR="00094E94" w:rsidRDefault="00094E94" w:rsidP="00002353">
            <w:pPr>
              <w:rPr>
                <w:rFonts w:ascii="Times New Roman" w:hAnsi="Times New Roman" w:cs="Times New Roman"/>
                <w:b/>
                <w:strike/>
              </w:rPr>
            </w:pPr>
          </w:p>
          <w:p w14:paraId="7B5DA563" w14:textId="77777777" w:rsidR="00094E94" w:rsidRDefault="00094E94" w:rsidP="00002353">
            <w:pPr>
              <w:rPr>
                <w:rFonts w:ascii="Times New Roman" w:hAnsi="Times New Roman" w:cs="Times New Roman"/>
                <w:b/>
                <w:strike/>
              </w:rPr>
            </w:pPr>
          </w:p>
          <w:p w14:paraId="2DBC2BDB" w14:textId="77777777" w:rsidR="00094E94" w:rsidRDefault="00094E94" w:rsidP="00002353">
            <w:pPr>
              <w:rPr>
                <w:rFonts w:ascii="Times New Roman" w:hAnsi="Times New Roman" w:cs="Times New Roman"/>
                <w:b/>
                <w:strike/>
              </w:rPr>
            </w:pPr>
          </w:p>
          <w:p w14:paraId="29A0B31A" w14:textId="77777777" w:rsidR="00094E94" w:rsidRDefault="00094E94" w:rsidP="00002353">
            <w:pPr>
              <w:rPr>
                <w:rFonts w:ascii="Times New Roman" w:hAnsi="Times New Roman" w:cs="Times New Roman"/>
                <w:b/>
                <w:strike/>
              </w:rPr>
            </w:pPr>
          </w:p>
          <w:p w14:paraId="4A652C83" w14:textId="77777777" w:rsidR="00094E94" w:rsidRDefault="00094E94" w:rsidP="00002353">
            <w:pPr>
              <w:rPr>
                <w:rFonts w:ascii="Times New Roman" w:hAnsi="Times New Roman" w:cs="Times New Roman"/>
                <w:b/>
                <w:strike/>
              </w:rPr>
            </w:pPr>
          </w:p>
          <w:p w14:paraId="3A0B869F" w14:textId="77777777" w:rsidR="00094E94" w:rsidRDefault="00094E94" w:rsidP="00002353">
            <w:pPr>
              <w:rPr>
                <w:rFonts w:ascii="Times New Roman" w:hAnsi="Times New Roman" w:cs="Times New Roman"/>
                <w:b/>
                <w:strike/>
              </w:rPr>
            </w:pPr>
          </w:p>
          <w:p w14:paraId="769AE613" w14:textId="77777777" w:rsidR="00094E94" w:rsidRDefault="00094E94" w:rsidP="00002353">
            <w:pPr>
              <w:rPr>
                <w:rFonts w:ascii="Times New Roman" w:hAnsi="Times New Roman" w:cs="Times New Roman"/>
                <w:b/>
                <w:strike/>
              </w:rPr>
            </w:pPr>
          </w:p>
          <w:p w14:paraId="5C870A62" w14:textId="77777777" w:rsidR="00094E94" w:rsidRDefault="00094E94" w:rsidP="00002353">
            <w:pPr>
              <w:rPr>
                <w:rFonts w:ascii="Times New Roman" w:hAnsi="Times New Roman" w:cs="Times New Roman"/>
                <w:b/>
                <w:strike/>
              </w:rPr>
            </w:pPr>
          </w:p>
          <w:p w14:paraId="5B1965FC" w14:textId="77777777" w:rsidR="00094E94" w:rsidRDefault="00094E94" w:rsidP="00002353">
            <w:pPr>
              <w:rPr>
                <w:rFonts w:ascii="Times New Roman" w:hAnsi="Times New Roman" w:cs="Times New Roman"/>
                <w:b/>
                <w:strike/>
              </w:rPr>
            </w:pPr>
          </w:p>
          <w:p w14:paraId="24D1B529" w14:textId="77777777" w:rsidR="00094E94" w:rsidRDefault="00094E94" w:rsidP="00002353">
            <w:pPr>
              <w:rPr>
                <w:rFonts w:ascii="Times New Roman" w:hAnsi="Times New Roman" w:cs="Times New Roman"/>
                <w:b/>
                <w:strike/>
              </w:rPr>
            </w:pPr>
          </w:p>
          <w:p w14:paraId="05680AE0" w14:textId="77777777" w:rsidR="00094E94" w:rsidRDefault="00094E94" w:rsidP="00002353">
            <w:pPr>
              <w:rPr>
                <w:rFonts w:ascii="Times New Roman" w:hAnsi="Times New Roman" w:cs="Times New Roman"/>
                <w:b/>
                <w:strike/>
              </w:rPr>
            </w:pPr>
          </w:p>
          <w:p w14:paraId="5BF55893" w14:textId="77777777" w:rsidR="00094E94" w:rsidRDefault="00094E94" w:rsidP="00002353">
            <w:pPr>
              <w:rPr>
                <w:rFonts w:ascii="Times New Roman" w:hAnsi="Times New Roman" w:cs="Times New Roman"/>
                <w:b/>
                <w:strike/>
              </w:rPr>
            </w:pPr>
          </w:p>
          <w:p w14:paraId="23E9D85E" w14:textId="77777777" w:rsidR="00094E94" w:rsidRDefault="00094E94" w:rsidP="00002353">
            <w:pPr>
              <w:rPr>
                <w:rFonts w:ascii="Times New Roman" w:hAnsi="Times New Roman" w:cs="Times New Roman"/>
                <w:b/>
                <w:strike/>
              </w:rPr>
            </w:pPr>
          </w:p>
          <w:p w14:paraId="6EE4D07B" w14:textId="77777777" w:rsidR="00094E94" w:rsidRDefault="00094E94" w:rsidP="00002353">
            <w:pPr>
              <w:rPr>
                <w:rFonts w:ascii="Times New Roman" w:hAnsi="Times New Roman" w:cs="Times New Roman"/>
                <w:b/>
                <w:strike/>
              </w:rPr>
            </w:pPr>
          </w:p>
          <w:p w14:paraId="4DF469EB" w14:textId="77777777" w:rsidR="00094E94" w:rsidRDefault="00094E94" w:rsidP="00002353">
            <w:pPr>
              <w:rPr>
                <w:rFonts w:ascii="Times New Roman" w:hAnsi="Times New Roman" w:cs="Times New Roman"/>
                <w:b/>
                <w:strike/>
              </w:rPr>
            </w:pPr>
          </w:p>
          <w:p w14:paraId="1EAFC26F" w14:textId="77777777" w:rsidR="00094E94" w:rsidRDefault="00094E94" w:rsidP="00002353">
            <w:pPr>
              <w:rPr>
                <w:rFonts w:ascii="Times New Roman" w:hAnsi="Times New Roman" w:cs="Times New Roman"/>
                <w:b/>
                <w:strike/>
              </w:rPr>
            </w:pPr>
          </w:p>
          <w:p w14:paraId="69CFC471" w14:textId="77777777" w:rsidR="00094E94" w:rsidRDefault="00094E94" w:rsidP="00002353">
            <w:pPr>
              <w:rPr>
                <w:rFonts w:ascii="Times New Roman" w:hAnsi="Times New Roman" w:cs="Times New Roman"/>
                <w:b/>
                <w:strike/>
              </w:rPr>
            </w:pPr>
          </w:p>
          <w:p w14:paraId="173A4956" w14:textId="77777777" w:rsidR="00094E94" w:rsidRDefault="00094E94" w:rsidP="00002353">
            <w:pPr>
              <w:rPr>
                <w:rFonts w:ascii="Times New Roman" w:hAnsi="Times New Roman" w:cs="Times New Roman"/>
                <w:b/>
                <w:strike/>
              </w:rPr>
            </w:pPr>
          </w:p>
          <w:p w14:paraId="7BF2CCEB" w14:textId="77777777" w:rsidR="00094E94" w:rsidRDefault="00094E94" w:rsidP="00002353">
            <w:pPr>
              <w:rPr>
                <w:rFonts w:ascii="Times New Roman" w:hAnsi="Times New Roman" w:cs="Times New Roman"/>
                <w:b/>
                <w:strike/>
              </w:rPr>
            </w:pPr>
          </w:p>
          <w:p w14:paraId="673D8088" w14:textId="77777777" w:rsidR="00094E94" w:rsidRDefault="00094E94" w:rsidP="00002353">
            <w:pPr>
              <w:rPr>
                <w:rFonts w:ascii="Times New Roman" w:hAnsi="Times New Roman" w:cs="Times New Roman"/>
                <w:b/>
                <w:strike/>
              </w:rPr>
            </w:pPr>
          </w:p>
          <w:p w14:paraId="612C1293" w14:textId="77777777" w:rsidR="00094E94" w:rsidRDefault="00094E94" w:rsidP="00002353">
            <w:pPr>
              <w:rPr>
                <w:rFonts w:ascii="Times New Roman" w:hAnsi="Times New Roman" w:cs="Times New Roman"/>
                <w:b/>
                <w:strike/>
              </w:rPr>
            </w:pPr>
          </w:p>
          <w:p w14:paraId="6AEBAE93" w14:textId="77777777" w:rsidR="00094E94" w:rsidRDefault="00094E94" w:rsidP="00002353">
            <w:pPr>
              <w:rPr>
                <w:rFonts w:ascii="Times New Roman" w:hAnsi="Times New Roman" w:cs="Times New Roman"/>
                <w:b/>
                <w:strike/>
              </w:rPr>
            </w:pPr>
          </w:p>
          <w:p w14:paraId="6E01B9B5" w14:textId="77777777" w:rsidR="00094E94" w:rsidRDefault="00094E94" w:rsidP="00002353">
            <w:pPr>
              <w:rPr>
                <w:rFonts w:ascii="Times New Roman" w:hAnsi="Times New Roman" w:cs="Times New Roman"/>
                <w:b/>
                <w:strike/>
              </w:rPr>
            </w:pPr>
          </w:p>
          <w:p w14:paraId="19878A2B" w14:textId="77777777" w:rsidR="00094E94" w:rsidRDefault="00094E94" w:rsidP="00002353">
            <w:pPr>
              <w:rPr>
                <w:rFonts w:ascii="Times New Roman" w:hAnsi="Times New Roman" w:cs="Times New Roman"/>
                <w:b/>
                <w:strike/>
              </w:rPr>
            </w:pPr>
          </w:p>
          <w:p w14:paraId="5AEFFA54" w14:textId="77777777" w:rsidR="00094E94" w:rsidRDefault="00094E94" w:rsidP="00002353">
            <w:pPr>
              <w:rPr>
                <w:rFonts w:ascii="Times New Roman" w:hAnsi="Times New Roman" w:cs="Times New Roman"/>
                <w:b/>
                <w:strike/>
              </w:rPr>
            </w:pPr>
          </w:p>
          <w:p w14:paraId="569B7930" w14:textId="77777777" w:rsidR="00094E94" w:rsidRDefault="00094E94" w:rsidP="00002353">
            <w:pPr>
              <w:rPr>
                <w:rFonts w:ascii="Times New Roman" w:hAnsi="Times New Roman" w:cs="Times New Roman"/>
                <w:b/>
                <w:strike/>
              </w:rPr>
            </w:pPr>
          </w:p>
          <w:p w14:paraId="7D5F5352" w14:textId="77777777" w:rsidR="00094E94" w:rsidRDefault="00094E94" w:rsidP="00002353">
            <w:pPr>
              <w:rPr>
                <w:rFonts w:ascii="Times New Roman" w:hAnsi="Times New Roman" w:cs="Times New Roman"/>
                <w:b/>
                <w:strike/>
              </w:rPr>
            </w:pPr>
          </w:p>
          <w:p w14:paraId="6F356A97" w14:textId="77777777" w:rsidR="00094E94" w:rsidRDefault="00094E94" w:rsidP="00002353">
            <w:pPr>
              <w:rPr>
                <w:rFonts w:ascii="Times New Roman" w:hAnsi="Times New Roman" w:cs="Times New Roman"/>
                <w:b/>
                <w:strike/>
              </w:rPr>
            </w:pPr>
          </w:p>
          <w:p w14:paraId="14AEC3EE" w14:textId="77777777" w:rsidR="00094E94" w:rsidRDefault="00094E94" w:rsidP="00002353">
            <w:pPr>
              <w:rPr>
                <w:rFonts w:ascii="Times New Roman" w:hAnsi="Times New Roman" w:cs="Times New Roman"/>
                <w:b/>
                <w:strike/>
              </w:rPr>
            </w:pPr>
          </w:p>
          <w:p w14:paraId="6A3D272B" w14:textId="77777777" w:rsidR="00094E94" w:rsidRDefault="00094E94" w:rsidP="00002353">
            <w:pPr>
              <w:rPr>
                <w:rFonts w:ascii="Times New Roman" w:hAnsi="Times New Roman" w:cs="Times New Roman"/>
                <w:b/>
                <w:strike/>
              </w:rPr>
            </w:pPr>
          </w:p>
          <w:p w14:paraId="78928D35" w14:textId="77777777" w:rsidR="00094E94" w:rsidRDefault="00094E94" w:rsidP="00002353">
            <w:pPr>
              <w:rPr>
                <w:rFonts w:ascii="Times New Roman" w:hAnsi="Times New Roman" w:cs="Times New Roman"/>
                <w:b/>
                <w:strike/>
              </w:rPr>
            </w:pPr>
          </w:p>
          <w:p w14:paraId="1B53B727" w14:textId="77777777" w:rsidR="00094E94" w:rsidRDefault="00094E94" w:rsidP="00002353">
            <w:pPr>
              <w:rPr>
                <w:rFonts w:ascii="Times New Roman" w:hAnsi="Times New Roman" w:cs="Times New Roman"/>
                <w:b/>
                <w:strike/>
              </w:rPr>
            </w:pPr>
          </w:p>
          <w:p w14:paraId="004DB79B" w14:textId="77777777" w:rsidR="00094E94" w:rsidRDefault="00094E94" w:rsidP="00002353">
            <w:pPr>
              <w:rPr>
                <w:rFonts w:ascii="Times New Roman" w:hAnsi="Times New Roman" w:cs="Times New Roman"/>
                <w:b/>
                <w:strike/>
              </w:rPr>
            </w:pPr>
          </w:p>
          <w:p w14:paraId="71048A05" w14:textId="77777777" w:rsidR="00094E94" w:rsidRDefault="00094E94" w:rsidP="00002353">
            <w:pPr>
              <w:rPr>
                <w:rFonts w:ascii="Times New Roman" w:hAnsi="Times New Roman" w:cs="Times New Roman"/>
                <w:b/>
                <w:strike/>
              </w:rPr>
            </w:pPr>
          </w:p>
          <w:p w14:paraId="049A3B9B" w14:textId="77777777" w:rsidR="00094E94" w:rsidRDefault="00094E94" w:rsidP="00002353">
            <w:pPr>
              <w:rPr>
                <w:rFonts w:ascii="Times New Roman" w:hAnsi="Times New Roman" w:cs="Times New Roman"/>
                <w:b/>
                <w:strike/>
              </w:rPr>
            </w:pPr>
          </w:p>
          <w:p w14:paraId="491F1E72" w14:textId="77777777" w:rsidR="00094E94" w:rsidRDefault="00094E94" w:rsidP="00002353">
            <w:pPr>
              <w:rPr>
                <w:rFonts w:ascii="Times New Roman" w:hAnsi="Times New Roman" w:cs="Times New Roman"/>
                <w:b/>
                <w:strike/>
              </w:rPr>
            </w:pPr>
          </w:p>
          <w:p w14:paraId="2B2A4E9B" w14:textId="77777777" w:rsidR="00094E94" w:rsidRDefault="00094E94" w:rsidP="00002353">
            <w:pPr>
              <w:rPr>
                <w:rFonts w:ascii="Times New Roman" w:hAnsi="Times New Roman" w:cs="Times New Roman"/>
                <w:b/>
                <w:strike/>
              </w:rPr>
            </w:pPr>
          </w:p>
          <w:p w14:paraId="219A4082" w14:textId="77777777" w:rsidR="00094E94" w:rsidRDefault="00094E94" w:rsidP="00002353">
            <w:pPr>
              <w:rPr>
                <w:rFonts w:ascii="Times New Roman" w:hAnsi="Times New Roman" w:cs="Times New Roman"/>
                <w:b/>
                <w:strike/>
              </w:rPr>
            </w:pPr>
          </w:p>
          <w:p w14:paraId="428F83F7" w14:textId="77777777" w:rsidR="00094E94" w:rsidRDefault="00094E94" w:rsidP="00002353">
            <w:pPr>
              <w:rPr>
                <w:rFonts w:ascii="Times New Roman" w:hAnsi="Times New Roman" w:cs="Times New Roman"/>
                <w:b/>
                <w:strike/>
              </w:rPr>
            </w:pPr>
          </w:p>
          <w:p w14:paraId="556782BD" w14:textId="77777777" w:rsidR="00094E94" w:rsidRDefault="00094E94" w:rsidP="00002353">
            <w:pPr>
              <w:rPr>
                <w:rFonts w:ascii="Times New Roman" w:hAnsi="Times New Roman" w:cs="Times New Roman"/>
                <w:b/>
                <w:strike/>
              </w:rPr>
            </w:pPr>
          </w:p>
          <w:p w14:paraId="0CBC6F99" w14:textId="77777777" w:rsidR="00094E94" w:rsidRDefault="00094E94" w:rsidP="00002353">
            <w:pPr>
              <w:rPr>
                <w:rFonts w:ascii="Times New Roman" w:hAnsi="Times New Roman" w:cs="Times New Roman"/>
                <w:b/>
                <w:strike/>
              </w:rPr>
            </w:pPr>
          </w:p>
          <w:p w14:paraId="30C9A9BE" w14:textId="77777777" w:rsidR="00094E94" w:rsidRDefault="00094E94" w:rsidP="00002353">
            <w:pPr>
              <w:rPr>
                <w:rFonts w:ascii="Times New Roman" w:hAnsi="Times New Roman" w:cs="Times New Roman"/>
                <w:b/>
                <w:strike/>
              </w:rPr>
            </w:pPr>
          </w:p>
          <w:p w14:paraId="5FCB49BC" w14:textId="77777777" w:rsidR="00094E94" w:rsidRDefault="00094E94" w:rsidP="00002353">
            <w:pPr>
              <w:rPr>
                <w:rFonts w:ascii="Times New Roman" w:hAnsi="Times New Roman" w:cs="Times New Roman"/>
                <w:b/>
                <w:strike/>
              </w:rPr>
            </w:pPr>
          </w:p>
          <w:p w14:paraId="558EEAA8" w14:textId="77777777" w:rsidR="00094E94" w:rsidRDefault="00094E94" w:rsidP="00002353">
            <w:pPr>
              <w:rPr>
                <w:rFonts w:ascii="Times New Roman" w:hAnsi="Times New Roman" w:cs="Times New Roman"/>
                <w:b/>
                <w:strike/>
              </w:rPr>
            </w:pPr>
          </w:p>
          <w:p w14:paraId="659D44DE" w14:textId="77777777" w:rsidR="00094E94" w:rsidRDefault="00094E94" w:rsidP="00002353">
            <w:pPr>
              <w:rPr>
                <w:rFonts w:ascii="Times New Roman" w:hAnsi="Times New Roman" w:cs="Times New Roman"/>
                <w:b/>
                <w:strike/>
              </w:rPr>
            </w:pPr>
          </w:p>
          <w:p w14:paraId="763EB1D5" w14:textId="77777777" w:rsidR="00094E94" w:rsidRDefault="00094E94" w:rsidP="00002353">
            <w:pPr>
              <w:rPr>
                <w:rFonts w:ascii="Times New Roman" w:hAnsi="Times New Roman" w:cs="Times New Roman"/>
                <w:b/>
                <w:strike/>
              </w:rPr>
            </w:pPr>
          </w:p>
          <w:p w14:paraId="54873A83" w14:textId="77777777" w:rsidR="00094E94" w:rsidRDefault="00094E94" w:rsidP="00002353">
            <w:pPr>
              <w:rPr>
                <w:rFonts w:ascii="Times New Roman" w:hAnsi="Times New Roman" w:cs="Times New Roman"/>
                <w:b/>
                <w:strike/>
              </w:rPr>
            </w:pPr>
          </w:p>
          <w:p w14:paraId="44554DAC" w14:textId="77777777" w:rsidR="00094E94" w:rsidRDefault="00094E94" w:rsidP="00002353">
            <w:pPr>
              <w:rPr>
                <w:rFonts w:ascii="Times New Roman" w:hAnsi="Times New Roman" w:cs="Times New Roman"/>
                <w:b/>
                <w:strike/>
              </w:rPr>
            </w:pPr>
          </w:p>
          <w:p w14:paraId="492C65E2" w14:textId="77777777" w:rsidR="00094E94" w:rsidRDefault="00094E94" w:rsidP="00002353">
            <w:pPr>
              <w:rPr>
                <w:rFonts w:ascii="Times New Roman" w:hAnsi="Times New Roman" w:cs="Times New Roman"/>
                <w:b/>
                <w:strike/>
              </w:rPr>
            </w:pPr>
          </w:p>
          <w:p w14:paraId="7F441CC8" w14:textId="77777777" w:rsidR="00094E94" w:rsidRDefault="00094E94" w:rsidP="00002353">
            <w:pPr>
              <w:rPr>
                <w:rFonts w:ascii="Times New Roman" w:hAnsi="Times New Roman" w:cs="Times New Roman"/>
                <w:b/>
                <w:strike/>
              </w:rPr>
            </w:pPr>
          </w:p>
          <w:p w14:paraId="717E17BC" w14:textId="77777777" w:rsidR="00094E94" w:rsidRDefault="00094E94" w:rsidP="00002353">
            <w:pPr>
              <w:rPr>
                <w:rFonts w:ascii="Times New Roman" w:hAnsi="Times New Roman" w:cs="Times New Roman"/>
                <w:b/>
                <w:strike/>
              </w:rPr>
            </w:pPr>
          </w:p>
          <w:p w14:paraId="71478EDD" w14:textId="77777777" w:rsidR="00094E94" w:rsidRDefault="00094E94" w:rsidP="00002353">
            <w:pPr>
              <w:rPr>
                <w:rFonts w:ascii="Times New Roman" w:hAnsi="Times New Roman" w:cs="Times New Roman"/>
                <w:b/>
                <w:strike/>
              </w:rPr>
            </w:pPr>
          </w:p>
          <w:p w14:paraId="0B5E8577" w14:textId="77777777" w:rsidR="00094E94" w:rsidRDefault="00094E94" w:rsidP="00002353">
            <w:pPr>
              <w:rPr>
                <w:rFonts w:ascii="Times New Roman" w:hAnsi="Times New Roman" w:cs="Times New Roman"/>
                <w:b/>
                <w:strike/>
              </w:rPr>
            </w:pPr>
          </w:p>
          <w:p w14:paraId="7126C046" w14:textId="77777777" w:rsidR="00094E94" w:rsidRDefault="00094E94" w:rsidP="00002353">
            <w:pPr>
              <w:rPr>
                <w:rFonts w:ascii="Times New Roman" w:hAnsi="Times New Roman" w:cs="Times New Roman"/>
                <w:b/>
                <w:strike/>
              </w:rPr>
            </w:pPr>
          </w:p>
          <w:p w14:paraId="1E604FF4" w14:textId="77777777" w:rsidR="00094E94" w:rsidRDefault="00094E94" w:rsidP="00002353">
            <w:pPr>
              <w:rPr>
                <w:rFonts w:ascii="Times New Roman" w:hAnsi="Times New Roman" w:cs="Times New Roman"/>
                <w:b/>
                <w:strike/>
              </w:rPr>
            </w:pPr>
          </w:p>
          <w:p w14:paraId="343066D8" w14:textId="77777777" w:rsidR="00094E94" w:rsidRDefault="00094E94" w:rsidP="00002353">
            <w:pPr>
              <w:rPr>
                <w:rFonts w:ascii="Times New Roman" w:hAnsi="Times New Roman" w:cs="Times New Roman"/>
                <w:b/>
                <w:strike/>
              </w:rPr>
            </w:pPr>
          </w:p>
          <w:p w14:paraId="7D2D3882" w14:textId="77777777" w:rsidR="00094E94" w:rsidRDefault="00094E94" w:rsidP="00002353">
            <w:pPr>
              <w:rPr>
                <w:rFonts w:ascii="Times New Roman" w:hAnsi="Times New Roman" w:cs="Times New Roman"/>
                <w:b/>
                <w:strike/>
              </w:rPr>
            </w:pPr>
          </w:p>
          <w:p w14:paraId="3D049DB0" w14:textId="77777777" w:rsidR="00094E94" w:rsidRDefault="00094E94" w:rsidP="00002353">
            <w:pPr>
              <w:rPr>
                <w:rFonts w:ascii="Times New Roman" w:hAnsi="Times New Roman" w:cs="Times New Roman"/>
                <w:b/>
                <w:strike/>
              </w:rPr>
            </w:pPr>
          </w:p>
          <w:p w14:paraId="3EB07ABB" w14:textId="77777777" w:rsidR="00094E94" w:rsidRDefault="00094E94" w:rsidP="00002353">
            <w:pPr>
              <w:rPr>
                <w:rFonts w:ascii="Times New Roman" w:hAnsi="Times New Roman" w:cs="Times New Roman"/>
                <w:b/>
                <w:strike/>
              </w:rPr>
            </w:pPr>
          </w:p>
          <w:p w14:paraId="147FB66E" w14:textId="77777777" w:rsidR="00094E94" w:rsidRDefault="00094E94" w:rsidP="00002353">
            <w:pPr>
              <w:rPr>
                <w:rFonts w:ascii="Times New Roman" w:hAnsi="Times New Roman" w:cs="Times New Roman"/>
                <w:b/>
                <w:strike/>
              </w:rPr>
            </w:pPr>
          </w:p>
          <w:p w14:paraId="76A8C419" w14:textId="77777777" w:rsidR="00094E94" w:rsidRDefault="00094E94" w:rsidP="00002353">
            <w:pPr>
              <w:rPr>
                <w:rFonts w:ascii="Times New Roman" w:hAnsi="Times New Roman" w:cs="Times New Roman"/>
                <w:b/>
                <w:strike/>
              </w:rPr>
            </w:pPr>
          </w:p>
          <w:p w14:paraId="67C94DB7" w14:textId="77777777" w:rsidR="00094E94" w:rsidRDefault="00094E94" w:rsidP="00002353">
            <w:pPr>
              <w:rPr>
                <w:rFonts w:ascii="Times New Roman" w:hAnsi="Times New Roman" w:cs="Times New Roman"/>
                <w:b/>
                <w:strike/>
              </w:rPr>
            </w:pPr>
          </w:p>
          <w:p w14:paraId="0443B917" w14:textId="77777777" w:rsidR="00094E94" w:rsidRDefault="00094E94" w:rsidP="00002353">
            <w:pPr>
              <w:rPr>
                <w:rFonts w:ascii="Times New Roman" w:hAnsi="Times New Roman" w:cs="Times New Roman"/>
                <w:b/>
                <w:strike/>
              </w:rPr>
            </w:pPr>
          </w:p>
          <w:p w14:paraId="34F612CD" w14:textId="77777777" w:rsidR="00094E94" w:rsidRDefault="00094E94" w:rsidP="00002353">
            <w:pPr>
              <w:rPr>
                <w:rFonts w:ascii="Times New Roman" w:hAnsi="Times New Roman" w:cs="Times New Roman"/>
                <w:b/>
                <w:strike/>
              </w:rPr>
            </w:pPr>
          </w:p>
          <w:p w14:paraId="20AF53E2" w14:textId="77777777" w:rsidR="00094E94" w:rsidRDefault="00094E94" w:rsidP="00002353">
            <w:pPr>
              <w:rPr>
                <w:rFonts w:ascii="Times New Roman" w:hAnsi="Times New Roman" w:cs="Times New Roman"/>
                <w:b/>
                <w:strike/>
              </w:rPr>
            </w:pPr>
          </w:p>
          <w:p w14:paraId="6D34E3E8" w14:textId="77777777" w:rsidR="00094E94" w:rsidRDefault="00094E94" w:rsidP="00002353">
            <w:pPr>
              <w:rPr>
                <w:rFonts w:ascii="Times New Roman" w:hAnsi="Times New Roman" w:cs="Times New Roman"/>
                <w:b/>
                <w:strike/>
              </w:rPr>
            </w:pPr>
          </w:p>
          <w:p w14:paraId="3858D0A6" w14:textId="77777777" w:rsidR="00094E94" w:rsidRDefault="00094E94" w:rsidP="00002353">
            <w:pPr>
              <w:rPr>
                <w:rFonts w:ascii="Times New Roman" w:hAnsi="Times New Roman" w:cs="Times New Roman"/>
                <w:b/>
                <w:strike/>
              </w:rPr>
            </w:pPr>
          </w:p>
          <w:p w14:paraId="0F35B00F" w14:textId="77777777" w:rsidR="00094E94" w:rsidRDefault="00094E94" w:rsidP="00002353">
            <w:pPr>
              <w:rPr>
                <w:rFonts w:ascii="Times New Roman" w:hAnsi="Times New Roman" w:cs="Times New Roman"/>
                <w:b/>
                <w:strike/>
              </w:rPr>
            </w:pPr>
          </w:p>
          <w:p w14:paraId="0BFA8BC4" w14:textId="77777777" w:rsidR="00094E94" w:rsidRDefault="00094E94" w:rsidP="00002353">
            <w:pPr>
              <w:rPr>
                <w:rFonts w:ascii="Times New Roman" w:hAnsi="Times New Roman" w:cs="Times New Roman"/>
                <w:b/>
                <w:strike/>
              </w:rPr>
            </w:pPr>
          </w:p>
          <w:p w14:paraId="4B7A8884" w14:textId="77777777" w:rsidR="00094E94" w:rsidRDefault="00094E94" w:rsidP="00002353">
            <w:pPr>
              <w:rPr>
                <w:rFonts w:ascii="Times New Roman" w:hAnsi="Times New Roman" w:cs="Times New Roman"/>
                <w:b/>
                <w:strike/>
              </w:rPr>
            </w:pPr>
          </w:p>
          <w:p w14:paraId="7E4F3083" w14:textId="77777777" w:rsidR="00094E94" w:rsidRDefault="00094E94" w:rsidP="00002353">
            <w:pPr>
              <w:rPr>
                <w:rFonts w:ascii="Times New Roman" w:hAnsi="Times New Roman" w:cs="Times New Roman"/>
                <w:b/>
                <w:strike/>
              </w:rPr>
            </w:pPr>
          </w:p>
          <w:p w14:paraId="3ECADE77" w14:textId="77777777" w:rsidR="00094E94" w:rsidRDefault="00094E94" w:rsidP="00002353">
            <w:pPr>
              <w:rPr>
                <w:rFonts w:ascii="Times New Roman" w:hAnsi="Times New Roman" w:cs="Times New Roman"/>
                <w:b/>
                <w:strike/>
              </w:rPr>
            </w:pPr>
          </w:p>
          <w:p w14:paraId="36499D23" w14:textId="77777777" w:rsidR="00094E94" w:rsidRDefault="00094E94" w:rsidP="00002353">
            <w:pPr>
              <w:rPr>
                <w:rFonts w:ascii="Times New Roman" w:hAnsi="Times New Roman" w:cs="Times New Roman"/>
                <w:b/>
                <w:strike/>
              </w:rPr>
            </w:pPr>
          </w:p>
          <w:p w14:paraId="3B2DFF71" w14:textId="77777777" w:rsidR="00094E94" w:rsidRDefault="00094E94" w:rsidP="00002353">
            <w:pPr>
              <w:rPr>
                <w:rFonts w:ascii="Times New Roman" w:hAnsi="Times New Roman" w:cs="Times New Roman"/>
                <w:b/>
                <w:strike/>
              </w:rPr>
            </w:pPr>
          </w:p>
          <w:p w14:paraId="0BDA94FB" w14:textId="77777777" w:rsidR="00094E94" w:rsidRDefault="00094E94" w:rsidP="00002353">
            <w:pPr>
              <w:rPr>
                <w:rFonts w:ascii="Times New Roman" w:hAnsi="Times New Roman" w:cs="Times New Roman"/>
                <w:b/>
                <w:strike/>
              </w:rPr>
            </w:pPr>
          </w:p>
          <w:p w14:paraId="0F0F9EFB" w14:textId="77777777" w:rsidR="00094E94" w:rsidRDefault="00094E94" w:rsidP="00002353">
            <w:pPr>
              <w:rPr>
                <w:rFonts w:ascii="Times New Roman" w:hAnsi="Times New Roman" w:cs="Times New Roman"/>
                <w:b/>
                <w:strike/>
              </w:rPr>
            </w:pPr>
          </w:p>
          <w:p w14:paraId="34B71AB8" w14:textId="77777777" w:rsidR="00094E94" w:rsidRDefault="00094E94" w:rsidP="00002353">
            <w:pPr>
              <w:rPr>
                <w:rFonts w:ascii="Times New Roman" w:hAnsi="Times New Roman" w:cs="Times New Roman"/>
                <w:b/>
                <w:strike/>
              </w:rPr>
            </w:pPr>
          </w:p>
          <w:p w14:paraId="6DCB9429" w14:textId="77777777" w:rsidR="00094E94" w:rsidRDefault="00094E94" w:rsidP="00002353">
            <w:pPr>
              <w:rPr>
                <w:rFonts w:ascii="Times New Roman" w:hAnsi="Times New Roman" w:cs="Times New Roman"/>
                <w:b/>
                <w:strike/>
              </w:rPr>
            </w:pPr>
          </w:p>
          <w:p w14:paraId="3592B659" w14:textId="77777777" w:rsidR="00094E94" w:rsidRDefault="00094E94" w:rsidP="00002353">
            <w:pPr>
              <w:rPr>
                <w:rFonts w:ascii="Times New Roman" w:hAnsi="Times New Roman" w:cs="Times New Roman"/>
                <w:b/>
                <w:strike/>
              </w:rPr>
            </w:pPr>
          </w:p>
          <w:p w14:paraId="7EF87A2A" w14:textId="77777777" w:rsidR="00094E94" w:rsidRDefault="00094E94" w:rsidP="00002353">
            <w:pPr>
              <w:rPr>
                <w:rFonts w:ascii="Times New Roman" w:hAnsi="Times New Roman" w:cs="Times New Roman"/>
                <w:b/>
                <w:strike/>
              </w:rPr>
            </w:pPr>
          </w:p>
          <w:p w14:paraId="777AE8E4" w14:textId="77777777" w:rsidR="00094E94" w:rsidRDefault="00094E94" w:rsidP="00002353">
            <w:pPr>
              <w:rPr>
                <w:rFonts w:ascii="Times New Roman" w:hAnsi="Times New Roman" w:cs="Times New Roman"/>
                <w:b/>
                <w:strike/>
              </w:rPr>
            </w:pPr>
          </w:p>
          <w:p w14:paraId="1D331012" w14:textId="77777777" w:rsidR="00094E94" w:rsidRDefault="00094E94" w:rsidP="00002353">
            <w:pPr>
              <w:rPr>
                <w:rFonts w:ascii="Times New Roman" w:hAnsi="Times New Roman" w:cs="Times New Roman"/>
                <w:b/>
                <w:strike/>
              </w:rPr>
            </w:pPr>
          </w:p>
          <w:p w14:paraId="4BC7858F" w14:textId="77777777" w:rsidR="00094E94" w:rsidRDefault="00094E94" w:rsidP="00002353">
            <w:pPr>
              <w:rPr>
                <w:rFonts w:ascii="Times New Roman" w:hAnsi="Times New Roman" w:cs="Times New Roman"/>
                <w:b/>
                <w:strike/>
              </w:rPr>
            </w:pPr>
          </w:p>
          <w:p w14:paraId="17939171" w14:textId="77777777" w:rsidR="00094E94" w:rsidRDefault="00094E94" w:rsidP="00002353">
            <w:pPr>
              <w:rPr>
                <w:rFonts w:ascii="Times New Roman" w:hAnsi="Times New Roman" w:cs="Times New Roman"/>
                <w:b/>
                <w:strike/>
              </w:rPr>
            </w:pPr>
          </w:p>
          <w:p w14:paraId="0116C5FC" w14:textId="77777777" w:rsidR="00094E94" w:rsidRDefault="00094E94" w:rsidP="00002353">
            <w:pPr>
              <w:rPr>
                <w:rFonts w:ascii="Times New Roman" w:hAnsi="Times New Roman" w:cs="Times New Roman"/>
                <w:b/>
                <w:strike/>
              </w:rPr>
            </w:pPr>
          </w:p>
          <w:p w14:paraId="1D229997" w14:textId="77777777" w:rsidR="00094E94" w:rsidRDefault="00094E94" w:rsidP="00002353">
            <w:pPr>
              <w:rPr>
                <w:rFonts w:ascii="Times New Roman" w:hAnsi="Times New Roman" w:cs="Times New Roman"/>
                <w:b/>
                <w:strike/>
              </w:rPr>
            </w:pPr>
          </w:p>
          <w:p w14:paraId="4B578794" w14:textId="77777777" w:rsidR="00094E94" w:rsidRDefault="00094E94" w:rsidP="00002353">
            <w:pPr>
              <w:rPr>
                <w:rFonts w:ascii="Times New Roman" w:hAnsi="Times New Roman" w:cs="Times New Roman"/>
                <w:b/>
                <w:strike/>
              </w:rPr>
            </w:pPr>
          </w:p>
          <w:p w14:paraId="2BF7B734" w14:textId="77777777" w:rsidR="00094E94" w:rsidRDefault="00094E94" w:rsidP="00002353">
            <w:pPr>
              <w:rPr>
                <w:rFonts w:ascii="Times New Roman" w:hAnsi="Times New Roman" w:cs="Times New Roman"/>
                <w:b/>
                <w:strike/>
              </w:rPr>
            </w:pPr>
          </w:p>
          <w:p w14:paraId="6F4740E2" w14:textId="77777777" w:rsidR="00094E94" w:rsidRDefault="00094E94" w:rsidP="00002353">
            <w:pPr>
              <w:rPr>
                <w:rFonts w:ascii="Times New Roman" w:hAnsi="Times New Roman" w:cs="Times New Roman"/>
                <w:b/>
                <w:strike/>
              </w:rPr>
            </w:pPr>
          </w:p>
          <w:p w14:paraId="2808364F" w14:textId="77777777" w:rsidR="00094E94" w:rsidRDefault="00094E94" w:rsidP="00002353">
            <w:pPr>
              <w:rPr>
                <w:rFonts w:ascii="Times New Roman" w:hAnsi="Times New Roman" w:cs="Times New Roman"/>
                <w:b/>
                <w:strike/>
              </w:rPr>
            </w:pPr>
          </w:p>
          <w:p w14:paraId="6575B6B5" w14:textId="77777777" w:rsidR="00094E94" w:rsidRDefault="00094E94" w:rsidP="00002353">
            <w:pPr>
              <w:rPr>
                <w:rFonts w:ascii="Times New Roman" w:hAnsi="Times New Roman" w:cs="Times New Roman"/>
                <w:b/>
                <w:strike/>
              </w:rPr>
            </w:pPr>
          </w:p>
          <w:p w14:paraId="46AA62E0" w14:textId="77777777" w:rsidR="00094E94" w:rsidRDefault="00094E94" w:rsidP="00002353">
            <w:pPr>
              <w:rPr>
                <w:rFonts w:ascii="Times New Roman" w:hAnsi="Times New Roman" w:cs="Times New Roman"/>
                <w:b/>
                <w:strike/>
              </w:rPr>
            </w:pPr>
          </w:p>
          <w:p w14:paraId="448D0E4A" w14:textId="77777777" w:rsidR="00094E94" w:rsidRDefault="00094E94" w:rsidP="00002353">
            <w:pPr>
              <w:rPr>
                <w:rFonts w:ascii="Times New Roman" w:hAnsi="Times New Roman" w:cs="Times New Roman"/>
                <w:b/>
                <w:strike/>
              </w:rPr>
            </w:pPr>
          </w:p>
          <w:p w14:paraId="6709CA77" w14:textId="77777777" w:rsidR="00094E94" w:rsidRDefault="00094E94" w:rsidP="00002353">
            <w:pPr>
              <w:rPr>
                <w:rFonts w:ascii="Times New Roman" w:hAnsi="Times New Roman" w:cs="Times New Roman"/>
                <w:b/>
                <w:strike/>
              </w:rPr>
            </w:pPr>
          </w:p>
          <w:p w14:paraId="5D760961" w14:textId="77777777" w:rsidR="00094E94" w:rsidRDefault="00094E94" w:rsidP="00002353">
            <w:pPr>
              <w:rPr>
                <w:rFonts w:ascii="Times New Roman" w:hAnsi="Times New Roman" w:cs="Times New Roman"/>
                <w:b/>
                <w:strike/>
              </w:rPr>
            </w:pPr>
          </w:p>
          <w:p w14:paraId="417CDF25" w14:textId="77777777" w:rsidR="00094E94" w:rsidRDefault="00094E94" w:rsidP="00002353">
            <w:pPr>
              <w:rPr>
                <w:rFonts w:ascii="Times New Roman" w:hAnsi="Times New Roman" w:cs="Times New Roman"/>
                <w:b/>
                <w:strike/>
              </w:rPr>
            </w:pPr>
          </w:p>
          <w:p w14:paraId="29471A42" w14:textId="77777777" w:rsidR="00094E94" w:rsidRDefault="00094E94" w:rsidP="00002353">
            <w:pPr>
              <w:rPr>
                <w:rFonts w:ascii="Times New Roman" w:hAnsi="Times New Roman" w:cs="Times New Roman"/>
                <w:b/>
                <w:strike/>
              </w:rPr>
            </w:pPr>
          </w:p>
          <w:p w14:paraId="1FBBB403" w14:textId="77777777" w:rsidR="00094E94" w:rsidRDefault="00094E94" w:rsidP="00002353">
            <w:pPr>
              <w:rPr>
                <w:rFonts w:ascii="Times New Roman" w:hAnsi="Times New Roman" w:cs="Times New Roman"/>
                <w:b/>
                <w:strike/>
              </w:rPr>
            </w:pPr>
          </w:p>
          <w:p w14:paraId="31A5B6BD" w14:textId="77777777" w:rsidR="00094E94" w:rsidRDefault="00094E94" w:rsidP="00002353">
            <w:pPr>
              <w:rPr>
                <w:rFonts w:ascii="Times New Roman" w:hAnsi="Times New Roman" w:cs="Times New Roman"/>
                <w:b/>
                <w:strike/>
              </w:rPr>
            </w:pPr>
          </w:p>
          <w:p w14:paraId="30EBEF9F" w14:textId="77777777" w:rsidR="00094E94" w:rsidRDefault="00094E94" w:rsidP="00002353">
            <w:pPr>
              <w:rPr>
                <w:rFonts w:ascii="Times New Roman" w:hAnsi="Times New Roman" w:cs="Times New Roman"/>
                <w:b/>
                <w:strike/>
              </w:rPr>
            </w:pPr>
          </w:p>
          <w:p w14:paraId="53C21B03" w14:textId="77777777" w:rsidR="00094E94" w:rsidRDefault="00094E94" w:rsidP="00002353">
            <w:pPr>
              <w:rPr>
                <w:rFonts w:ascii="Times New Roman" w:hAnsi="Times New Roman" w:cs="Times New Roman"/>
                <w:b/>
                <w:strike/>
              </w:rPr>
            </w:pPr>
          </w:p>
          <w:p w14:paraId="1FABBF3D" w14:textId="77777777" w:rsidR="00094E94" w:rsidRDefault="00094E94" w:rsidP="00002353">
            <w:pPr>
              <w:rPr>
                <w:rFonts w:ascii="Times New Roman" w:hAnsi="Times New Roman" w:cs="Times New Roman"/>
                <w:b/>
                <w:strike/>
              </w:rPr>
            </w:pPr>
          </w:p>
          <w:p w14:paraId="5B7589E7" w14:textId="77777777" w:rsidR="00094E94" w:rsidRDefault="00094E94" w:rsidP="00002353">
            <w:pPr>
              <w:rPr>
                <w:rFonts w:ascii="Times New Roman" w:hAnsi="Times New Roman" w:cs="Times New Roman"/>
                <w:b/>
                <w:strike/>
              </w:rPr>
            </w:pPr>
          </w:p>
          <w:p w14:paraId="5493A3BB" w14:textId="77777777" w:rsidR="00094E94" w:rsidRDefault="00094E94" w:rsidP="00002353">
            <w:pPr>
              <w:rPr>
                <w:rFonts w:ascii="Times New Roman" w:hAnsi="Times New Roman" w:cs="Times New Roman"/>
                <w:b/>
                <w:strike/>
              </w:rPr>
            </w:pPr>
          </w:p>
          <w:p w14:paraId="12420EDC" w14:textId="77777777" w:rsidR="00094E94" w:rsidRDefault="00094E94" w:rsidP="00002353">
            <w:pPr>
              <w:rPr>
                <w:rFonts w:ascii="Times New Roman" w:hAnsi="Times New Roman" w:cs="Times New Roman"/>
                <w:b/>
                <w:strike/>
              </w:rPr>
            </w:pPr>
          </w:p>
          <w:p w14:paraId="4D3FC3A0" w14:textId="77777777" w:rsidR="00094E94" w:rsidRDefault="00094E94" w:rsidP="00002353">
            <w:pPr>
              <w:rPr>
                <w:rFonts w:ascii="Times New Roman" w:hAnsi="Times New Roman" w:cs="Times New Roman"/>
                <w:b/>
                <w:strike/>
              </w:rPr>
            </w:pPr>
          </w:p>
          <w:p w14:paraId="252DDFF1" w14:textId="77777777" w:rsidR="00094E94" w:rsidRDefault="00094E94" w:rsidP="00002353">
            <w:pPr>
              <w:rPr>
                <w:rFonts w:ascii="Times New Roman" w:hAnsi="Times New Roman" w:cs="Times New Roman"/>
                <w:b/>
                <w:strike/>
              </w:rPr>
            </w:pPr>
          </w:p>
          <w:p w14:paraId="2AE9DD0B" w14:textId="77777777" w:rsidR="00094E94" w:rsidRDefault="00094E94" w:rsidP="00002353">
            <w:pPr>
              <w:rPr>
                <w:rFonts w:ascii="Times New Roman" w:hAnsi="Times New Roman" w:cs="Times New Roman"/>
                <w:b/>
                <w:strike/>
              </w:rPr>
            </w:pPr>
          </w:p>
          <w:p w14:paraId="51521F97" w14:textId="77777777" w:rsidR="00094E94" w:rsidRDefault="00094E94" w:rsidP="00002353">
            <w:pPr>
              <w:rPr>
                <w:rFonts w:ascii="Times New Roman" w:hAnsi="Times New Roman" w:cs="Times New Roman"/>
                <w:b/>
                <w:strike/>
              </w:rPr>
            </w:pPr>
          </w:p>
          <w:p w14:paraId="550E7826" w14:textId="77777777" w:rsidR="00094E94" w:rsidRDefault="00094E94" w:rsidP="00002353">
            <w:pPr>
              <w:rPr>
                <w:rFonts w:ascii="Times New Roman" w:hAnsi="Times New Roman" w:cs="Times New Roman"/>
                <w:b/>
                <w:strike/>
              </w:rPr>
            </w:pPr>
          </w:p>
          <w:p w14:paraId="303345B8" w14:textId="77777777" w:rsidR="00094E94" w:rsidRDefault="00094E94" w:rsidP="00002353">
            <w:pPr>
              <w:rPr>
                <w:rFonts w:ascii="Times New Roman" w:hAnsi="Times New Roman" w:cs="Times New Roman"/>
                <w:b/>
                <w:strike/>
              </w:rPr>
            </w:pPr>
          </w:p>
          <w:p w14:paraId="239250F5" w14:textId="77777777" w:rsidR="00094E94" w:rsidRDefault="00094E94" w:rsidP="00002353">
            <w:pPr>
              <w:rPr>
                <w:rFonts w:ascii="Times New Roman" w:hAnsi="Times New Roman" w:cs="Times New Roman"/>
                <w:b/>
                <w:strike/>
              </w:rPr>
            </w:pPr>
          </w:p>
          <w:p w14:paraId="798DDB00" w14:textId="77777777" w:rsidR="00094E94" w:rsidRDefault="00094E94" w:rsidP="00002353">
            <w:pPr>
              <w:rPr>
                <w:rFonts w:ascii="Times New Roman" w:hAnsi="Times New Roman" w:cs="Times New Roman"/>
                <w:b/>
                <w:strike/>
              </w:rPr>
            </w:pPr>
          </w:p>
          <w:p w14:paraId="6CEECEDC" w14:textId="77777777" w:rsidR="00094E94" w:rsidRDefault="00094E94" w:rsidP="00002353">
            <w:pPr>
              <w:rPr>
                <w:rFonts w:ascii="Times New Roman" w:hAnsi="Times New Roman" w:cs="Times New Roman"/>
                <w:b/>
                <w:strike/>
              </w:rPr>
            </w:pPr>
          </w:p>
          <w:p w14:paraId="526FF2B9" w14:textId="77777777" w:rsidR="00094E94" w:rsidRDefault="00094E94" w:rsidP="00002353">
            <w:pPr>
              <w:rPr>
                <w:rFonts w:ascii="Times New Roman" w:hAnsi="Times New Roman" w:cs="Times New Roman"/>
                <w:b/>
                <w:strike/>
              </w:rPr>
            </w:pPr>
          </w:p>
          <w:p w14:paraId="6CB420F3" w14:textId="77777777" w:rsidR="00094E94" w:rsidRDefault="00094E94" w:rsidP="00002353">
            <w:pPr>
              <w:rPr>
                <w:rFonts w:ascii="Times New Roman" w:hAnsi="Times New Roman" w:cs="Times New Roman"/>
                <w:b/>
                <w:strike/>
              </w:rPr>
            </w:pPr>
          </w:p>
          <w:p w14:paraId="0682C65E" w14:textId="77777777" w:rsidR="00094E94" w:rsidRDefault="00094E94" w:rsidP="00002353">
            <w:pPr>
              <w:rPr>
                <w:rFonts w:ascii="Times New Roman" w:hAnsi="Times New Roman" w:cs="Times New Roman"/>
                <w:b/>
                <w:strike/>
              </w:rPr>
            </w:pPr>
          </w:p>
          <w:p w14:paraId="5265D1B7" w14:textId="77777777" w:rsidR="00094E94" w:rsidRDefault="00094E94" w:rsidP="00002353">
            <w:pPr>
              <w:rPr>
                <w:rFonts w:ascii="Times New Roman" w:hAnsi="Times New Roman" w:cs="Times New Roman"/>
                <w:b/>
                <w:strike/>
              </w:rPr>
            </w:pPr>
          </w:p>
          <w:p w14:paraId="421CE2C7" w14:textId="77777777" w:rsidR="00094E94" w:rsidRDefault="00094E94" w:rsidP="00002353">
            <w:pPr>
              <w:rPr>
                <w:rFonts w:ascii="Times New Roman" w:hAnsi="Times New Roman" w:cs="Times New Roman"/>
                <w:b/>
                <w:strike/>
              </w:rPr>
            </w:pPr>
          </w:p>
          <w:p w14:paraId="26BC0DE2" w14:textId="77777777" w:rsidR="00094E94" w:rsidRDefault="00094E94" w:rsidP="00002353">
            <w:pPr>
              <w:rPr>
                <w:rFonts w:ascii="Times New Roman" w:hAnsi="Times New Roman" w:cs="Times New Roman"/>
                <w:b/>
                <w:strike/>
              </w:rPr>
            </w:pPr>
          </w:p>
          <w:p w14:paraId="57A4B7FF" w14:textId="77777777" w:rsidR="00094E94" w:rsidRDefault="00094E94" w:rsidP="00002353">
            <w:pPr>
              <w:rPr>
                <w:rFonts w:ascii="Times New Roman" w:hAnsi="Times New Roman" w:cs="Times New Roman"/>
                <w:b/>
                <w:strike/>
              </w:rPr>
            </w:pPr>
          </w:p>
          <w:p w14:paraId="06522F4C" w14:textId="77777777" w:rsidR="00094E94" w:rsidRDefault="00094E94" w:rsidP="00002353">
            <w:pPr>
              <w:rPr>
                <w:rFonts w:ascii="Times New Roman" w:hAnsi="Times New Roman" w:cs="Times New Roman"/>
                <w:b/>
                <w:strike/>
              </w:rPr>
            </w:pPr>
          </w:p>
          <w:p w14:paraId="3A0FC431" w14:textId="77777777" w:rsidR="00094E94" w:rsidRDefault="00094E94" w:rsidP="00002353">
            <w:pPr>
              <w:rPr>
                <w:rFonts w:ascii="Times New Roman" w:hAnsi="Times New Roman" w:cs="Times New Roman"/>
                <w:b/>
                <w:strike/>
              </w:rPr>
            </w:pPr>
          </w:p>
          <w:p w14:paraId="656346EE" w14:textId="77777777" w:rsidR="00094E94" w:rsidRDefault="00094E94" w:rsidP="00002353">
            <w:pPr>
              <w:rPr>
                <w:rFonts w:ascii="Times New Roman" w:hAnsi="Times New Roman" w:cs="Times New Roman"/>
                <w:b/>
                <w:strike/>
              </w:rPr>
            </w:pPr>
          </w:p>
          <w:p w14:paraId="53CCEDA5" w14:textId="77777777" w:rsidR="00094E94" w:rsidRDefault="00094E94" w:rsidP="00002353">
            <w:pPr>
              <w:rPr>
                <w:rFonts w:ascii="Times New Roman" w:hAnsi="Times New Roman" w:cs="Times New Roman"/>
                <w:b/>
                <w:strike/>
              </w:rPr>
            </w:pPr>
          </w:p>
          <w:p w14:paraId="783CC6E6" w14:textId="77777777" w:rsidR="00094E94" w:rsidRDefault="00094E94" w:rsidP="00002353">
            <w:pPr>
              <w:rPr>
                <w:rFonts w:ascii="Times New Roman" w:hAnsi="Times New Roman" w:cs="Times New Roman"/>
                <w:b/>
                <w:strike/>
              </w:rPr>
            </w:pPr>
          </w:p>
          <w:p w14:paraId="0650DCBA" w14:textId="77777777" w:rsidR="00094E94" w:rsidRDefault="00094E94" w:rsidP="00002353">
            <w:pPr>
              <w:rPr>
                <w:rFonts w:ascii="Times New Roman" w:hAnsi="Times New Roman" w:cs="Times New Roman"/>
                <w:b/>
                <w:strike/>
              </w:rPr>
            </w:pPr>
          </w:p>
          <w:p w14:paraId="4CD40685" w14:textId="77777777" w:rsidR="00094E94" w:rsidRDefault="00094E94" w:rsidP="00002353">
            <w:pPr>
              <w:rPr>
                <w:rFonts w:ascii="Times New Roman" w:hAnsi="Times New Roman" w:cs="Times New Roman"/>
                <w:b/>
                <w:strike/>
              </w:rPr>
            </w:pPr>
          </w:p>
          <w:p w14:paraId="28615067" w14:textId="77777777" w:rsidR="00094E94" w:rsidRDefault="00094E94" w:rsidP="00002353">
            <w:pPr>
              <w:rPr>
                <w:rFonts w:ascii="Times New Roman" w:hAnsi="Times New Roman" w:cs="Times New Roman"/>
                <w:b/>
                <w:strike/>
              </w:rPr>
            </w:pPr>
          </w:p>
          <w:p w14:paraId="629CD6CE" w14:textId="77777777" w:rsidR="00094E94" w:rsidRDefault="00094E94" w:rsidP="00002353">
            <w:pPr>
              <w:rPr>
                <w:rFonts w:ascii="Times New Roman" w:hAnsi="Times New Roman" w:cs="Times New Roman"/>
                <w:b/>
                <w:strike/>
              </w:rPr>
            </w:pPr>
          </w:p>
          <w:p w14:paraId="58F916D4" w14:textId="77777777" w:rsidR="00094E94" w:rsidRDefault="00094E94" w:rsidP="00002353">
            <w:pPr>
              <w:rPr>
                <w:rFonts w:ascii="Times New Roman" w:hAnsi="Times New Roman" w:cs="Times New Roman"/>
                <w:b/>
                <w:strike/>
              </w:rPr>
            </w:pPr>
          </w:p>
          <w:p w14:paraId="46287DE7" w14:textId="77777777" w:rsidR="00094E94" w:rsidRDefault="00094E94" w:rsidP="00002353">
            <w:pPr>
              <w:rPr>
                <w:rFonts w:ascii="Times New Roman" w:hAnsi="Times New Roman" w:cs="Times New Roman"/>
                <w:b/>
                <w:strike/>
              </w:rPr>
            </w:pPr>
          </w:p>
          <w:p w14:paraId="41CF5F0C" w14:textId="77777777" w:rsidR="00094E94" w:rsidRDefault="00094E94" w:rsidP="00002353">
            <w:pPr>
              <w:rPr>
                <w:rFonts w:ascii="Times New Roman" w:hAnsi="Times New Roman" w:cs="Times New Roman"/>
                <w:b/>
                <w:strike/>
              </w:rPr>
            </w:pPr>
          </w:p>
          <w:p w14:paraId="43E80537" w14:textId="77777777" w:rsidR="00094E94" w:rsidRDefault="00094E94" w:rsidP="00002353">
            <w:pPr>
              <w:rPr>
                <w:rFonts w:ascii="Times New Roman" w:hAnsi="Times New Roman" w:cs="Times New Roman"/>
                <w:b/>
                <w:strike/>
              </w:rPr>
            </w:pPr>
          </w:p>
          <w:p w14:paraId="698A2410" w14:textId="77777777" w:rsidR="00094E94" w:rsidRDefault="00094E94" w:rsidP="00002353">
            <w:pPr>
              <w:rPr>
                <w:rFonts w:ascii="Times New Roman" w:hAnsi="Times New Roman" w:cs="Times New Roman"/>
                <w:b/>
                <w:strike/>
              </w:rPr>
            </w:pPr>
          </w:p>
          <w:p w14:paraId="6EFBFB50" w14:textId="77777777" w:rsidR="00094E94" w:rsidRDefault="00094E94" w:rsidP="00002353">
            <w:pPr>
              <w:rPr>
                <w:rFonts w:ascii="Times New Roman" w:hAnsi="Times New Roman" w:cs="Times New Roman"/>
                <w:b/>
                <w:strike/>
              </w:rPr>
            </w:pPr>
          </w:p>
          <w:p w14:paraId="16E92098" w14:textId="77777777" w:rsidR="00094E94" w:rsidRDefault="00094E94" w:rsidP="00002353">
            <w:pPr>
              <w:rPr>
                <w:rFonts w:ascii="Times New Roman" w:hAnsi="Times New Roman" w:cs="Times New Roman"/>
                <w:b/>
                <w:strike/>
              </w:rPr>
            </w:pPr>
          </w:p>
          <w:p w14:paraId="37DBED4A" w14:textId="77777777" w:rsidR="00094E94" w:rsidRDefault="00094E94" w:rsidP="00002353">
            <w:pPr>
              <w:rPr>
                <w:rFonts w:ascii="Times New Roman" w:hAnsi="Times New Roman" w:cs="Times New Roman"/>
                <w:b/>
                <w:strike/>
              </w:rPr>
            </w:pPr>
          </w:p>
          <w:p w14:paraId="0C6BB808" w14:textId="77777777" w:rsidR="00094E94" w:rsidRDefault="00094E94" w:rsidP="00002353">
            <w:pPr>
              <w:rPr>
                <w:rFonts w:ascii="Times New Roman" w:hAnsi="Times New Roman" w:cs="Times New Roman"/>
                <w:b/>
                <w:strike/>
              </w:rPr>
            </w:pPr>
          </w:p>
          <w:p w14:paraId="0D503771" w14:textId="77777777" w:rsidR="00094E94" w:rsidRDefault="00094E94" w:rsidP="00002353">
            <w:pPr>
              <w:rPr>
                <w:rFonts w:ascii="Times New Roman" w:hAnsi="Times New Roman" w:cs="Times New Roman"/>
                <w:b/>
                <w:strike/>
              </w:rPr>
            </w:pPr>
          </w:p>
          <w:p w14:paraId="12EB5A2C" w14:textId="77777777" w:rsidR="00094E94" w:rsidRDefault="00094E94" w:rsidP="00002353">
            <w:pPr>
              <w:rPr>
                <w:rFonts w:ascii="Times New Roman" w:hAnsi="Times New Roman" w:cs="Times New Roman"/>
                <w:b/>
                <w:strike/>
              </w:rPr>
            </w:pPr>
          </w:p>
          <w:p w14:paraId="111C826E" w14:textId="77777777" w:rsidR="00094E94" w:rsidRDefault="00094E94" w:rsidP="00002353">
            <w:pPr>
              <w:rPr>
                <w:rFonts w:ascii="Times New Roman" w:hAnsi="Times New Roman" w:cs="Times New Roman"/>
                <w:b/>
                <w:strike/>
              </w:rPr>
            </w:pPr>
          </w:p>
          <w:p w14:paraId="43839A0F" w14:textId="77777777" w:rsidR="00094E94" w:rsidRDefault="00094E94" w:rsidP="00002353">
            <w:pPr>
              <w:rPr>
                <w:rFonts w:ascii="Times New Roman" w:hAnsi="Times New Roman" w:cs="Times New Roman"/>
                <w:b/>
                <w:strike/>
              </w:rPr>
            </w:pPr>
          </w:p>
          <w:p w14:paraId="3BEBA31A" w14:textId="77777777" w:rsidR="00094E94" w:rsidRDefault="00094E94" w:rsidP="00002353">
            <w:pPr>
              <w:rPr>
                <w:rFonts w:ascii="Times New Roman" w:hAnsi="Times New Roman" w:cs="Times New Roman"/>
                <w:b/>
                <w:strike/>
              </w:rPr>
            </w:pPr>
          </w:p>
          <w:p w14:paraId="0C2088DC" w14:textId="77777777" w:rsidR="00094E94" w:rsidRDefault="00094E94" w:rsidP="00002353">
            <w:pPr>
              <w:rPr>
                <w:rFonts w:ascii="Times New Roman" w:hAnsi="Times New Roman" w:cs="Times New Roman"/>
                <w:b/>
                <w:strike/>
              </w:rPr>
            </w:pPr>
          </w:p>
          <w:p w14:paraId="572F1A84" w14:textId="77777777" w:rsidR="00094E94" w:rsidRPr="008A30A9" w:rsidRDefault="00094E94" w:rsidP="00094E94">
            <w:pPr>
              <w:rPr>
                <w:rFonts w:ascii="Times New Roman" w:hAnsi="Times New Roman" w:cs="Times New Roman"/>
                <w:b/>
                <w:strike/>
              </w:rPr>
            </w:pPr>
            <w:r w:rsidRPr="008A30A9">
              <w:rPr>
                <w:rFonts w:ascii="Times New Roman" w:hAnsi="Times New Roman" w:cs="Times New Roman"/>
                <w:b/>
                <w:strike/>
              </w:rPr>
              <w:t xml:space="preserve">Bu </w:t>
            </w:r>
            <w:proofErr w:type="spellStart"/>
            <w:r w:rsidRPr="008A30A9">
              <w:rPr>
                <w:rFonts w:ascii="Times New Roman" w:hAnsi="Times New Roman" w:cs="Times New Roman"/>
                <w:b/>
                <w:strike/>
              </w:rPr>
              <w:t>Ek'te</w:t>
            </w:r>
            <w:proofErr w:type="spellEnd"/>
            <w:r w:rsidRPr="008A30A9">
              <w:rPr>
                <w:rFonts w:ascii="Times New Roman" w:hAnsi="Times New Roman" w:cs="Times New Roman"/>
                <w:b/>
                <w:strike/>
              </w:rPr>
              <w:t xml:space="preserve"> tanımlanan doğrulama toleransları, yalnızca beyan edilen değerlerin Bakanlık tarafından doğrulanması ile ilgili olup teknik dosyadaki değerleri belirleme veya bu değerleri yorumlamada uyum sağlama veya herhangi bir yolla daha iyi performans sağlama amacıyla izin verilen bir tolerans olarak imalatçı, ithalatçı veya yetkili temsilci tarafından kullanılamaz.</w:t>
            </w:r>
          </w:p>
          <w:p w14:paraId="45191571" w14:textId="77777777" w:rsidR="00094E94" w:rsidRDefault="00094E94" w:rsidP="00094E94">
            <w:pPr>
              <w:rPr>
                <w:rFonts w:ascii="Times New Roman" w:hAnsi="Times New Roman" w:cs="Times New Roman"/>
                <w:b/>
                <w:strike/>
              </w:rPr>
            </w:pPr>
          </w:p>
          <w:p w14:paraId="6E586192" w14:textId="3875F5BB" w:rsidR="00094E94" w:rsidRDefault="00094E94" w:rsidP="00094E94">
            <w:pPr>
              <w:rPr>
                <w:rFonts w:ascii="Times New Roman" w:hAnsi="Times New Roman" w:cs="Times New Roman"/>
                <w:b/>
                <w:strike/>
              </w:rPr>
            </w:pPr>
          </w:p>
          <w:p w14:paraId="2060E4BF" w14:textId="403436BF" w:rsidR="00094E94" w:rsidRDefault="00094E94" w:rsidP="00094E94">
            <w:pPr>
              <w:rPr>
                <w:rFonts w:ascii="Times New Roman" w:hAnsi="Times New Roman" w:cs="Times New Roman"/>
                <w:b/>
                <w:strike/>
              </w:rPr>
            </w:pPr>
          </w:p>
          <w:p w14:paraId="2E25228B" w14:textId="61AAEA36" w:rsidR="00094E94" w:rsidRDefault="00094E94" w:rsidP="00094E94">
            <w:pPr>
              <w:rPr>
                <w:rFonts w:ascii="Times New Roman" w:hAnsi="Times New Roman" w:cs="Times New Roman"/>
                <w:b/>
                <w:strike/>
              </w:rPr>
            </w:pPr>
          </w:p>
          <w:p w14:paraId="74E810E6" w14:textId="05DD4E5B" w:rsidR="00094E94" w:rsidRDefault="00094E94" w:rsidP="00094E94">
            <w:pPr>
              <w:rPr>
                <w:rFonts w:ascii="Times New Roman" w:hAnsi="Times New Roman" w:cs="Times New Roman"/>
                <w:b/>
                <w:strike/>
              </w:rPr>
            </w:pPr>
          </w:p>
          <w:p w14:paraId="1613A3D8" w14:textId="0A816472" w:rsidR="00094E94" w:rsidRDefault="00094E94" w:rsidP="00094E94">
            <w:pPr>
              <w:rPr>
                <w:rFonts w:ascii="Times New Roman" w:hAnsi="Times New Roman" w:cs="Times New Roman"/>
                <w:b/>
                <w:strike/>
              </w:rPr>
            </w:pPr>
          </w:p>
          <w:p w14:paraId="20F72E20" w14:textId="45B14AC1" w:rsidR="00094E94" w:rsidRDefault="00094E94" w:rsidP="00094E94">
            <w:pPr>
              <w:rPr>
                <w:rFonts w:ascii="Times New Roman" w:hAnsi="Times New Roman" w:cs="Times New Roman"/>
                <w:b/>
                <w:strike/>
              </w:rPr>
            </w:pPr>
          </w:p>
          <w:p w14:paraId="3D8DB2BE" w14:textId="77777777" w:rsidR="00094E94" w:rsidRDefault="00094E94" w:rsidP="00094E94">
            <w:pPr>
              <w:rPr>
                <w:rFonts w:ascii="Times New Roman" w:hAnsi="Times New Roman" w:cs="Times New Roman"/>
                <w:b/>
                <w:strike/>
              </w:rPr>
            </w:pPr>
          </w:p>
          <w:p w14:paraId="4FA40FDB" w14:textId="77777777" w:rsidR="00094E94" w:rsidRPr="008A30A9" w:rsidRDefault="00094E94" w:rsidP="00094E94">
            <w:pPr>
              <w:rPr>
                <w:rFonts w:ascii="Times New Roman" w:hAnsi="Times New Roman" w:cs="Times New Roman"/>
                <w:b/>
                <w:strike/>
              </w:rPr>
            </w:pPr>
          </w:p>
          <w:p w14:paraId="64011B19" w14:textId="77777777" w:rsidR="00094E94" w:rsidRDefault="00094E94" w:rsidP="00094E94">
            <w:pPr>
              <w:rPr>
                <w:rFonts w:ascii="Times New Roman" w:hAnsi="Times New Roman" w:cs="Times New Roman"/>
                <w:b/>
                <w:strike/>
              </w:rPr>
            </w:pPr>
            <w:r w:rsidRPr="008A30A9">
              <w:rPr>
                <w:rFonts w:ascii="Times New Roman" w:hAnsi="Times New Roman" w:cs="Times New Roman"/>
                <w:b/>
                <w:strike/>
              </w:rPr>
              <w:t>Bakanlık bir ürün modelinin Enerji İle İlgili Ürünlerin Çevreye Duyarlı Tasarımına İlişkin Yönetmeliğin 5 inci maddesinin ikinci fıkrası gereği bu Tebliğ’de belirtilen gerekliliklerle uygunluğunu doğrularken, bu ekte belirtilen gereklilikler için, aşağıdaki prosedürü uygular:</w:t>
            </w:r>
          </w:p>
          <w:p w14:paraId="1979866B" w14:textId="77777777" w:rsidR="00094E94" w:rsidRDefault="00094E94" w:rsidP="00094E94">
            <w:pPr>
              <w:rPr>
                <w:rFonts w:ascii="Times New Roman" w:hAnsi="Times New Roman" w:cs="Times New Roman"/>
                <w:b/>
                <w:strike/>
              </w:rPr>
            </w:pPr>
          </w:p>
          <w:p w14:paraId="662685C5" w14:textId="77777777" w:rsidR="00094E94" w:rsidRDefault="00094E94" w:rsidP="00094E94">
            <w:pPr>
              <w:rPr>
                <w:rFonts w:ascii="Times New Roman" w:hAnsi="Times New Roman" w:cs="Times New Roman"/>
                <w:b/>
                <w:strike/>
              </w:rPr>
            </w:pPr>
          </w:p>
          <w:p w14:paraId="6EE6BAAB" w14:textId="77777777" w:rsidR="00094E94" w:rsidRDefault="00094E94" w:rsidP="00094E94">
            <w:pPr>
              <w:rPr>
                <w:rFonts w:ascii="Times New Roman" w:hAnsi="Times New Roman" w:cs="Times New Roman"/>
                <w:b/>
                <w:strike/>
              </w:rPr>
            </w:pPr>
          </w:p>
          <w:p w14:paraId="249425BD" w14:textId="77777777" w:rsidR="00094E94" w:rsidRDefault="00094E94" w:rsidP="00094E94">
            <w:pPr>
              <w:rPr>
                <w:rFonts w:ascii="Times New Roman" w:hAnsi="Times New Roman" w:cs="Times New Roman"/>
                <w:b/>
                <w:strike/>
              </w:rPr>
            </w:pPr>
          </w:p>
          <w:p w14:paraId="627881A0" w14:textId="77777777" w:rsidR="00094E94" w:rsidRDefault="00094E94" w:rsidP="00094E94">
            <w:pPr>
              <w:rPr>
                <w:rFonts w:ascii="Times New Roman" w:hAnsi="Times New Roman" w:cs="Times New Roman"/>
                <w:b/>
                <w:strike/>
              </w:rPr>
            </w:pPr>
          </w:p>
          <w:p w14:paraId="4411B948" w14:textId="77777777" w:rsidR="00094E94" w:rsidRDefault="00094E94" w:rsidP="00094E94">
            <w:pPr>
              <w:rPr>
                <w:rFonts w:ascii="Times New Roman" w:hAnsi="Times New Roman" w:cs="Times New Roman"/>
                <w:b/>
                <w:strike/>
              </w:rPr>
            </w:pPr>
          </w:p>
          <w:p w14:paraId="76FDD70B" w14:textId="77777777" w:rsidR="00094E94" w:rsidRDefault="00094E94" w:rsidP="00094E94">
            <w:pPr>
              <w:rPr>
                <w:rFonts w:ascii="Times New Roman" w:hAnsi="Times New Roman" w:cs="Times New Roman"/>
                <w:b/>
                <w:strike/>
              </w:rPr>
            </w:pPr>
          </w:p>
          <w:p w14:paraId="032FC3AD" w14:textId="38406CF6" w:rsidR="00094E94" w:rsidRDefault="00094E94" w:rsidP="00094E94">
            <w:pPr>
              <w:rPr>
                <w:rFonts w:ascii="Times New Roman" w:hAnsi="Times New Roman" w:cs="Times New Roman"/>
                <w:b/>
                <w:strike/>
              </w:rPr>
            </w:pPr>
          </w:p>
          <w:p w14:paraId="1AA0ED5D" w14:textId="2ABED404" w:rsidR="00307285" w:rsidRDefault="00307285" w:rsidP="00094E94">
            <w:pPr>
              <w:rPr>
                <w:rFonts w:ascii="Times New Roman" w:hAnsi="Times New Roman" w:cs="Times New Roman"/>
                <w:b/>
                <w:strike/>
              </w:rPr>
            </w:pPr>
          </w:p>
          <w:p w14:paraId="75D85F03" w14:textId="08C1F3D3" w:rsidR="00307285" w:rsidRDefault="00307285" w:rsidP="00094E94">
            <w:pPr>
              <w:rPr>
                <w:rFonts w:ascii="Times New Roman" w:hAnsi="Times New Roman" w:cs="Times New Roman"/>
                <w:b/>
                <w:strike/>
              </w:rPr>
            </w:pPr>
          </w:p>
          <w:p w14:paraId="13B39157" w14:textId="77777777" w:rsidR="00307285" w:rsidRDefault="00307285" w:rsidP="00094E94">
            <w:pPr>
              <w:rPr>
                <w:rFonts w:ascii="Times New Roman" w:hAnsi="Times New Roman" w:cs="Times New Roman"/>
                <w:b/>
                <w:strike/>
              </w:rPr>
            </w:pPr>
          </w:p>
          <w:p w14:paraId="5A726EEE" w14:textId="77777777" w:rsidR="00094E94" w:rsidRDefault="00094E94" w:rsidP="00094E94">
            <w:pPr>
              <w:rPr>
                <w:rFonts w:ascii="Times New Roman" w:hAnsi="Times New Roman" w:cs="Times New Roman"/>
                <w:b/>
                <w:strike/>
              </w:rPr>
            </w:pPr>
          </w:p>
          <w:p w14:paraId="73168B4F" w14:textId="73A31FA8" w:rsidR="00094E94" w:rsidRDefault="00094E94" w:rsidP="00094E94">
            <w:pPr>
              <w:rPr>
                <w:rFonts w:ascii="Times New Roman" w:hAnsi="Times New Roman" w:cs="Times New Roman"/>
                <w:b/>
                <w:strike/>
              </w:rPr>
            </w:pPr>
          </w:p>
          <w:p w14:paraId="540265BE" w14:textId="7B0611A5" w:rsidR="00307285" w:rsidRDefault="00307285" w:rsidP="00094E94">
            <w:pPr>
              <w:rPr>
                <w:rFonts w:ascii="Times New Roman" w:hAnsi="Times New Roman" w:cs="Times New Roman"/>
                <w:b/>
                <w:strike/>
              </w:rPr>
            </w:pPr>
          </w:p>
          <w:p w14:paraId="32DFEF2A" w14:textId="53E6DA6D" w:rsidR="00307285" w:rsidRDefault="00307285" w:rsidP="00094E94">
            <w:pPr>
              <w:rPr>
                <w:rFonts w:ascii="Times New Roman" w:hAnsi="Times New Roman" w:cs="Times New Roman"/>
                <w:b/>
                <w:strike/>
              </w:rPr>
            </w:pPr>
          </w:p>
          <w:p w14:paraId="5A565BF7" w14:textId="3E1300CD" w:rsidR="00307285" w:rsidRDefault="00307285" w:rsidP="00094E94">
            <w:pPr>
              <w:rPr>
                <w:rFonts w:ascii="Times New Roman" w:hAnsi="Times New Roman" w:cs="Times New Roman"/>
                <w:b/>
                <w:strike/>
              </w:rPr>
            </w:pPr>
          </w:p>
          <w:p w14:paraId="7A128BCA" w14:textId="3489C3FD" w:rsidR="00307285" w:rsidRDefault="00307285" w:rsidP="00094E94">
            <w:pPr>
              <w:rPr>
                <w:rFonts w:ascii="Times New Roman" w:hAnsi="Times New Roman" w:cs="Times New Roman"/>
                <w:b/>
                <w:strike/>
              </w:rPr>
            </w:pPr>
          </w:p>
          <w:p w14:paraId="24308147" w14:textId="73DC3564" w:rsidR="00307285" w:rsidRDefault="00307285" w:rsidP="00094E94">
            <w:pPr>
              <w:rPr>
                <w:rFonts w:ascii="Times New Roman" w:hAnsi="Times New Roman" w:cs="Times New Roman"/>
                <w:b/>
                <w:strike/>
              </w:rPr>
            </w:pPr>
          </w:p>
          <w:p w14:paraId="61F92ACC" w14:textId="2EEBBC7C" w:rsidR="00307285" w:rsidRDefault="00307285" w:rsidP="00094E94">
            <w:pPr>
              <w:rPr>
                <w:rFonts w:ascii="Times New Roman" w:hAnsi="Times New Roman" w:cs="Times New Roman"/>
                <w:b/>
                <w:strike/>
              </w:rPr>
            </w:pPr>
          </w:p>
          <w:p w14:paraId="24AABBDD" w14:textId="44F5C675" w:rsidR="00307285" w:rsidRDefault="00307285" w:rsidP="00094E94">
            <w:pPr>
              <w:rPr>
                <w:rFonts w:ascii="Times New Roman" w:hAnsi="Times New Roman" w:cs="Times New Roman"/>
                <w:b/>
                <w:strike/>
              </w:rPr>
            </w:pPr>
          </w:p>
          <w:p w14:paraId="23CB40AF" w14:textId="477D4CAB" w:rsidR="00307285" w:rsidRDefault="00307285" w:rsidP="00094E94">
            <w:pPr>
              <w:rPr>
                <w:rFonts w:ascii="Times New Roman" w:hAnsi="Times New Roman" w:cs="Times New Roman"/>
                <w:b/>
                <w:strike/>
              </w:rPr>
            </w:pPr>
          </w:p>
          <w:p w14:paraId="2CF326D2" w14:textId="072512F2" w:rsidR="00307285" w:rsidRDefault="00307285" w:rsidP="00094E94">
            <w:pPr>
              <w:rPr>
                <w:rFonts w:ascii="Times New Roman" w:hAnsi="Times New Roman" w:cs="Times New Roman"/>
                <w:b/>
                <w:strike/>
              </w:rPr>
            </w:pPr>
          </w:p>
          <w:p w14:paraId="34547A6C" w14:textId="27E95707" w:rsidR="00307285" w:rsidRDefault="00307285" w:rsidP="00094E94">
            <w:pPr>
              <w:rPr>
                <w:rFonts w:ascii="Times New Roman" w:hAnsi="Times New Roman" w:cs="Times New Roman"/>
                <w:b/>
                <w:strike/>
              </w:rPr>
            </w:pPr>
          </w:p>
          <w:p w14:paraId="3DBC808F" w14:textId="039CBFB3" w:rsidR="00307285" w:rsidRDefault="00307285" w:rsidP="00094E94">
            <w:pPr>
              <w:rPr>
                <w:rFonts w:ascii="Times New Roman" w:hAnsi="Times New Roman" w:cs="Times New Roman"/>
                <w:b/>
                <w:strike/>
              </w:rPr>
            </w:pPr>
          </w:p>
          <w:p w14:paraId="2F72F006" w14:textId="676EE048" w:rsidR="00307285" w:rsidRDefault="00307285" w:rsidP="00094E94">
            <w:pPr>
              <w:rPr>
                <w:rFonts w:ascii="Times New Roman" w:hAnsi="Times New Roman" w:cs="Times New Roman"/>
                <w:b/>
                <w:strike/>
              </w:rPr>
            </w:pPr>
          </w:p>
          <w:p w14:paraId="239F1CA6" w14:textId="2A1AD4C3" w:rsidR="00307285" w:rsidRDefault="00307285" w:rsidP="00094E94">
            <w:pPr>
              <w:rPr>
                <w:rFonts w:ascii="Times New Roman" w:hAnsi="Times New Roman" w:cs="Times New Roman"/>
                <w:b/>
                <w:strike/>
              </w:rPr>
            </w:pPr>
          </w:p>
          <w:p w14:paraId="6261091D" w14:textId="3FA79A4B" w:rsidR="00307285" w:rsidRDefault="00307285" w:rsidP="00094E94">
            <w:pPr>
              <w:rPr>
                <w:rFonts w:ascii="Times New Roman" w:hAnsi="Times New Roman" w:cs="Times New Roman"/>
                <w:b/>
                <w:strike/>
              </w:rPr>
            </w:pPr>
          </w:p>
          <w:p w14:paraId="1BD6F349" w14:textId="203FE84D" w:rsidR="00307285" w:rsidRDefault="00307285" w:rsidP="00094E94">
            <w:pPr>
              <w:rPr>
                <w:rFonts w:ascii="Times New Roman" w:hAnsi="Times New Roman" w:cs="Times New Roman"/>
                <w:b/>
                <w:strike/>
              </w:rPr>
            </w:pPr>
          </w:p>
          <w:p w14:paraId="4EBF8EF7" w14:textId="25DC6E07" w:rsidR="00307285" w:rsidRDefault="00307285" w:rsidP="00094E94">
            <w:pPr>
              <w:rPr>
                <w:rFonts w:ascii="Times New Roman" w:hAnsi="Times New Roman" w:cs="Times New Roman"/>
                <w:b/>
                <w:strike/>
              </w:rPr>
            </w:pPr>
          </w:p>
          <w:p w14:paraId="1475C349" w14:textId="04D1789A" w:rsidR="00307285" w:rsidRDefault="00307285" w:rsidP="00094E94">
            <w:pPr>
              <w:rPr>
                <w:rFonts w:ascii="Times New Roman" w:hAnsi="Times New Roman" w:cs="Times New Roman"/>
                <w:b/>
                <w:strike/>
              </w:rPr>
            </w:pPr>
          </w:p>
          <w:p w14:paraId="730C5E72" w14:textId="3C902597" w:rsidR="00307285" w:rsidRDefault="00307285" w:rsidP="00094E94">
            <w:pPr>
              <w:rPr>
                <w:rFonts w:ascii="Times New Roman" w:hAnsi="Times New Roman" w:cs="Times New Roman"/>
                <w:b/>
                <w:strike/>
              </w:rPr>
            </w:pPr>
          </w:p>
          <w:p w14:paraId="00FED42C" w14:textId="4B1E45F2" w:rsidR="00307285" w:rsidRDefault="00307285" w:rsidP="00094E94">
            <w:pPr>
              <w:rPr>
                <w:rFonts w:ascii="Times New Roman" w:hAnsi="Times New Roman" w:cs="Times New Roman"/>
                <w:b/>
                <w:strike/>
              </w:rPr>
            </w:pPr>
          </w:p>
          <w:p w14:paraId="636E23F6" w14:textId="136691E0" w:rsidR="00307285" w:rsidRDefault="00307285" w:rsidP="00094E94">
            <w:pPr>
              <w:rPr>
                <w:rFonts w:ascii="Times New Roman" w:hAnsi="Times New Roman" w:cs="Times New Roman"/>
                <w:b/>
                <w:strike/>
              </w:rPr>
            </w:pPr>
          </w:p>
          <w:p w14:paraId="60F6FB5D" w14:textId="7E161970" w:rsidR="00307285" w:rsidRDefault="00307285" w:rsidP="00094E94">
            <w:pPr>
              <w:rPr>
                <w:rFonts w:ascii="Times New Roman" w:hAnsi="Times New Roman" w:cs="Times New Roman"/>
                <w:b/>
                <w:strike/>
              </w:rPr>
            </w:pPr>
          </w:p>
          <w:p w14:paraId="30DAEB27" w14:textId="597C0E9C" w:rsidR="00307285" w:rsidRDefault="00307285" w:rsidP="00094E94">
            <w:pPr>
              <w:rPr>
                <w:rFonts w:ascii="Times New Roman" w:hAnsi="Times New Roman" w:cs="Times New Roman"/>
                <w:b/>
                <w:strike/>
              </w:rPr>
            </w:pPr>
          </w:p>
          <w:p w14:paraId="07494F8A" w14:textId="227D24F2" w:rsidR="00307285" w:rsidRDefault="00307285" w:rsidP="00094E94">
            <w:pPr>
              <w:rPr>
                <w:rFonts w:ascii="Times New Roman" w:hAnsi="Times New Roman" w:cs="Times New Roman"/>
                <w:b/>
                <w:strike/>
              </w:rPr>
            </w:pPr>
          </w:p>
          <w:p w14:paraId="35FF1A27" w14:textId="169B1387" w:rsidR="00307285" w:rsidRDefault="00307285" w:rsidP="00094E94">
            <w:pPr>
              <w:rPr>
                <w:rFonts w:ascii="Times New Roman" w:hAnsi="Times New Roman" w:cs="Times New Roman"/>
                <w:b/>
                <w:strike/>
              </w:rPr>
            </w:pPr>
          </w:p>
          <w:p w14:paraId="5648CED9" w14:textId="42344C80" w:rsidR="00307285" w:rsidRDefault="00307285" w:rsidP="00094E94">
            <w:pPr>
              <w:rPr>
                <w:rFonts w:ascii="Times New Roman" w:hAnsi="Times New Roman" w:cs="Times New Roman"/>
                <w:b/>
                <w:strike/>
              </w:rPr>
            </w:pPr>
          </w:p>
          <w:p w14:paraId="6B679307" w14:textId="7F806D26" w:rsidR="00307285" w:rsidRDefault="00307285" w:rsidP="00094E94">
            <w:pPr>
              <w:rPr>
                <w:rFonts w:ascii="Times New Roman" w:hAnsi="Times New Roman" w:cs="Times New Roman"/>
                <w:b/>
                <w:strike/>
              </w:rPr>
            </w:pPr>
          </w:p>
          <w:p w14:paraId="7CE84383" w14:textId="7572EA67" w:rsidR="00307285" w:rsidRDefault="00307285" w:rsidP="00094E94">
            <w:pPr>
              <w:rPr>
                <w:rFonts w:ascii="Times New Roman" w:hAnsi="Times New Roman" w:cs="Times New Roman"/>
                <w:b/>
                <w:strike/>
              </w:rPr>
            </w:pPr>
          </w:p>
          <w:p w14:paraId="54976E53" w14:textId="77777777" w:rsidR="00307285" w:rsidRPr="008A30A9" w:rsidRDefault="00307285" w:rsidP="00094E94">
            <w:pPr>
              <w:rPr>
                <w:rFonts w:ascii="Times New Roman" w:hAnsi="Times New Roman" w:cs="Times New Roman"/>
                <w:b/>
                <w:strike/>
              </w:rPr>
            </w:pPr>
          </w:p>
          <w:p w14:paraId="42EB474A" w14:textId="6D410D2B" w:rsidR="00094E94" w:rsidRPr="008A30A9" w:rsidRDefault="00094E94" w:rsidP="00094E94">
            <w:pPr>
              <w:rPr>
                <w:rFonts w:ascii="Times New Roman" w:hAnsi="Times New Roman" w:cs="Times New Roman"/>
                <w:b/>
                <w:strike/>
              </w:rPr>
            </w:pPr>
            <w:r w:rsidRPr="008A30A9">
              <w:rPr>
                <w:rFonts w:ascii="Times New Roman" w:hAnsi="Times New Roman" w:cs="Times New Roman"/>
                <w:b/>
                <w:strike/>
              </w:rPr>
              <w:t>3.</w:t>
            </w:r>
            <w:r w:rsidRPr="008A30A9">
              <w:rPr>
                <w:rFonts w:ascii="Times New Roman" w:hAnsi="Times New Roman" w:cs="Times New Roman"/>
                <w:b/>
                <w:strike/>
              </w:rPr>
              <w:tab/>
              <w:t xml:space="preserve">Bu </w:t>
            </w:r>
            <w:proofErr w:type="spellStart"/>
            <w:r w:rsidRPr="008A30A9">
              <w:rPr>
                <w:rFonts w:ascii="Times New Roman" w:hAnsi="Times New Roman" w:cs="Times New Roman"/>
                <w:b/>
                <w:strike/>
              </w:rPr>
              <w:t>Ek’in</w:t>
            </w:r>
            <w:proofErr w:type="spellEnd"/>
            <w:r w:rsidRPr="008A30A9">
              <w:rPr>
                <w:rFonts w:ascii="Times New Roman" w:hAnsi="Times New Roman" w:cs="Times New Roman"/>
                <w:b/>
                <w:strike/>
              </w:rPr>
              <w:t xml:space="preserve"> </w:t>
            </w:r>
            <w:proofErr w:type="gramStart"/>
            <w:r w:rsidRPr="008A30A9">
              <w:rPr>
                <w:rFonts w:ascii="Times New Roman" w:hAnsi="Times New Roman" w:cs="Times New Roman"/>
                <w:b/>
                <w:strike/>
              </w:rPr>
              <w:t xml:space="preserve">2 </w:t>
            </w:r>
            <w:proofErr w:type="spellStart"/>
            <w:r w:rsidRPr="008A30A9">
              <w:rPr>
                <w:rFonts w:ascii="Times New Roman" w:hAnsi="Times New Roman" w:cs="Times New Roman"/>
                <w:b/>
                <w:strike/>
              </w:rPr>
              <w:t>nci</w:t>
            </w:r>
            <w:proofErr w:type="spellEnd"/>
            <w:proofErr w:type="gramEnd"/>
            <w:r w:rsidRPr="008A30A9">
              <w:rPr>
                <w:rFonts w:ascii="Times New Roman" w:hAnsi="Times New Roman" w:cs="Times New Roman"/>
                <w:b/>
                <w:strike/>
              </w:rPr>
              <w:t xml:space="preserve"> maddesinin (a) veya (b) bentlerinde belirtilen sonuçlar elde edilemediği takdirde, model ve aynı ürün bilgisinin kapsadığı bütün model yapılandırmalarının (bu Tebliğin Ek-</w:t>
            </w:r>
            <w:proofErr w:type="spellStart"/>
            <w:r w:rsidRPr="008A30A9">
              <w:rPr>
                <w:rFonts w:ascii="Times New Roman" w:hAnsi="Times New Roman" w:cs="Times New Roman"/>
                <w:b/>
                <w:strike/>
              </w:rPr>
              <w:t>II’sinin</w:t>
            </w:r>
            <w:proofErr w:type="spellEnd"/>
            <w:r w:rsidRPr="008A30A9">
              <w:rPr>
                <w:rFonts w:ascii="Times New Roman" w:hAnsi="Times New Roman" w:cs="Times New Roman"/>
                <w:b/>
                <w:strike/>
              </w:rPr>
              <w:t xml:space="preserve"> 3.1 inci maddesinin (p) bendi) bu Tebliğe uygun olmadığı kabul edilir.</w:t>
            </w:r>
          </w:p>
          <w:p w14:paraId="571AC9CF" w14:textId="77777777" w:rsidR="00094E94" w:rsidRPr="008A30A9" w:rsidRDefault="00094E94" w:rsidP="00094E94">
            <w:pPr>
              <w:rPr>
                <w:rFonts w:ascii="Times New Roman" w:hAnsi="Times New Roman" w:cs="Times New Roman"/>
                <w:b/>
                <w:strike/>
              </w:rPr>
            </w:pPr>
          </w:p>
          <w:p w14:paraId="39BCE191" w14:textId="50703833" w:rsidR="00094E94" w:rsidRDefault="00094E94" w:rsidP="00094E94">
            <w:pPr>
              <w:rPr>
                <w:rFonts w:ascii="Times New Roman" w:hAnsi="Times New Roman" w:cs="Times New Roman"/>
                <w:b/>
                <w:strike/>
              </w:rPr>
            </w:pPr>
          </w:p>
          <w:p w14:paraId="7C28D264" w14:textId="451C4CAD" w:rsidR="00307285" w:rsidRDefault="00307285" w:rsidP="00094E94">
            <w:pPr>
              <w:rPr>
                <w:rFonts w:ascii="Times New Roman" w:hAnsi="Times New Roman" w:cs="Times New Roman"/>
                <w:b/>
                <w:strike/>
              </w:rPr>
            </w:pPr>
          </w:p>
          <w:p w14:paraId="69B6568C" w14:textId="13232090" w:rsidR="00307285" w:rsidRDefault="00307285" w:rsidP="00094E94">
            <w:pPr>
              <w:rPr>
                <w:rFonts w:ascii="Times New Roman" w:hAnsi="Times New Roman" w:cs="Times New Roman"/>
                <w:b/>
                <w:strike/>
              </w:rPr>
            </w:pPr>
          </w:p>
          <w:p w14:paraId="45A4F6C6" w14:textId="649BE830" w:rsidR="00307285" w:rsidRDefault="00307285" w:rsidP="00094E94">
            <w:pPr>
              <w:rPr>
                <w:rFonts w:ascii="Times New Roman" w:hAnsi="Times New Roman" w:cs="Times New Roman"/>
                <w:b/>
                <w:strike/>
              </w:rPr>
            </w:pPr>
          </w:p>
          <w:p w14:paraId="4C27669C" w14:textId="1E983B1A" w:rsidR="00307285" w:rsidRDefault="00307285" w:rsidP="00094E94">
            <w:pPr>
              <w:rPr>
                <w:rFonts w:ascii="Times New Roman" w:hAnsi="Times New Roman" w:cs="Times New Roman"/>
                <w:b/>
                <w:strike/>
              </w:rPr>
            </w:pPr>
          </w:p>
          <w:p w14:paraId="51201269" w14:textId="566F284D" w:rsidR="00307285" w:rsidRDefault="00307285" w:rsidP="00094E94">
            <w:pPr>
              <w:rPr>
                <w:rFonts w:ascii="Times New Roman" w:hAnsi="Times New Roman" w:cs="Times New Roman"/>
                <w:b/>
                <w:strike/>
              </w:rPr>
            </w:pPr>
          </w:p>
          <w:p w14:paraId="0169E9DE" w14:textId="573D9F99" w:rsidR="00307285" w:rsidRDefault="00307285" w:rsidP="00094E94">
            <w:pPr>
              <w:rPr>
                <w:rFonts w:ascii="Times New Roman" w:hAnsi="Times New Roman" w:cs="Times New Roman"/>
                <w:b/>
                <w:strike/>
              </w:rPr>
            </w:pPr>
          </w:p>
          <w:p w14:paraId="72208207" w14:textId="77777777" w:rsidR="00307285" w:rsidRDefault="00307285" w:rsidP="00094E94">
            <w:pPr>
              <w:rPr>
                <w:rFonts w:ascii="Times New Roman" w:hAnsi="Times New Roman" w:cs="Times New Roman"/>
                <w:b/>
                <w:strike/>
              </w:rPr>
            </w:pPr>
          </w:p>
          <w:p w14:paraId="1E264993" w14:textId="77777777" w:rsidR="00094E94" w:rsidRPr="008A30A9" w:rsidRDefault="00094E94" w:rsidP="00094E94">
            <w:pPr>
              <w:rPr>
                <w:rFonts w:ascii="Times New Roman" w:hAnsi="Times New Roman" w:cs="Times New Roman"/>
                <w:b/>
                <w:strike/>
              </w:rPr>
            </w:pPr>
          </w:p>
          <w:p w14:paraId="3DE15455" w14:textId="77777777" w:rsidR="00094E94" w:rsidRPr="008A30A9" w:rsidRDefault="00094E94" w:rsidP="00094E94">
            <w:pPr>
              <w:rPr>
                <w:rFonts w:ascii="Times New Roman" w:hAnsi="Times New Roman" w:cs="Times New Roman"/>
                <w:b/>
                <w:strike/>
              </w:rPr>
            </w:pPr>
            <w:r w:rsidRPr="008A30A9">
              <w:rPr>
                <w:rFonts w:ascii="Times New Roman" w:hAnsi="Times New Roman" w:cs="Times New Roman"/>
                <w:b/>
                <w:strike/>
              </w:rPr>
              <w:t>(b)</w:t>
            </w:r>
            <w:r w:rsidRPr="008A30A9">
              <w:rPr>
                <w:rFonts w:ascii="Times New Roman" w:hAnsi="Times New Roman" w:cs="Times New Roman"/>
                <w:b/>
                <w:strike/>
              </w:rPr>
              <w:tab/>
              <w:t xml:space="preserve">yılda beş veya daha fazla sayıda üretilen modeller için, Bakanlık aynı modelden üç ek birim seçer veya imalatçının sunucunun bir sunucu ürün ailesini temsil ettiğini beyan etmesi halinde alternatif olarak hem düşük seviye performans yapılandırmasından hem de yüksek seviye </w:t>
            </w:r>
            <w:r w:rsidRPr="008A30A9">
              <w:rPr>
                <w:rFonts w:ascii="Times New Roman" w:hAnsi="Times New Roman" w:cs="Times New Roman"/>
                <w:b/>
                <w:strike/>
              </w:rPr>
              <w:lastRenderedPageBreak/>
              <w:t>performans yapılandırmasından test için birer birim seçer.</w:t>
            </w:r>
          </w:p>
          <w:p w14:paraId="086D291C" w14:textId="77777777" w:rsidR="00094E94" w:rsidRPr="008A30A9" w:rsidRDefault="00094E94" w:rsidP="00094E94">
            <w:pPr>
              <w:rPr>
                <w:rFonts w:ascii="Times New Roman" w:hAnsi="Times New Roman" w:cs="Times New Roman"/>
                <w:b/>
                <w:strike/>
              </w:rPr>
            </w:pPr>
          </w:p>
          <w:p w14:paraId="5ECEBDAF" w14:textId="77777777" w:rsidR="00094E94" w:rsidRDefault="00094E94" w:rsidP="00094E94">
            <w:pPr>
              <w:rPr>
                <w:rFonts w:ascii="Times New Roman" w:hAnsi="Times New Roman" w:cs="Times New Roman"/>
                <w:b/>
                <w:strike/>
              </w:rPr>
            </w:pPr>
          </w:p>
          <w:p w14:paraId="3C4FCA5A" w14:textId="77777777" w:rsidR="00094E94" w:rsidRPr="008A30A9" w:rsidRDefault="00094E94" w:rsidP="00094E94">
            <w:pPr>
              <w:rPr>
                <w:rFonts w:ascii="Times New Roman" w:hAnsi="Times New Roman" w:cs="Times New Roman"/>
                <w:b/>
                <w:strike/>
              </w:rPr>
            </w:pPr>
          </w:p>
          <w:p w14:paraId="5C12A820" w14:textId="77777777" w:rsidR="00094E94" w:rsidRPr="008A30A9" w:rsidRDefault="00094E94" w:rsidP="00094E94">
            <w:pPr>
              <w:rPr>
                <w:rFonts w:ascii="Times New Roman" w:hAnsi="Times New Roman" w:cs="Times New Roman"/>
                <w:b/>
                <w:strike/>
              </w:rPr>
            </w:pPr>
            <w:r w:rsidRPr="008A30A9">
              <w:rPr>
                <w:rFonts w:ascii="Times New Roman" w:hAnsi="Times New Roman" w:cs="Times New Roman"/>
                <w:b/>
                <w:strike/>
              </w:rPr>
              <w:t>5.</w:t>
            </w:r>
            <w:r w:rsidRPr="008A30A9">
              <w:rPr>
                <w:rFonts w:ascii="Times New Roman" w:hAnsi="Times New Roman" w:cs="Times New Roman"/>
                <w:b/>
                <w:strike/>
              </w:rPr>
              <w:tab/>
              <w:t>Bu üç birim için belirlenen değerlerin aritmetik ortalaması, Tablo 7’de verilen ilgili doğrulama toleranslarına uygun olması durumunda, model veya model yapılandırmasının uygulanabilir gerekliliklerle uygun olduğu kabul edilir.</w:t>
            </w:r>
          </w:p>
          <w:p w14:paraId="755841DE" w14:textId="77777777" w:rsidR="00094E94" w:rsidRPr="008A30A9" w:rsidRDefault="00094E94" w:rsidP="00094E94">
            <w:pPr>
              <w:rPr>
                <w:rFonts w:ascii="Times New Roman" w:hAnsi="Times New Roman" w:cs="Times New Roman"/>
                <w:b/>
                <w:strike/>
              </w:rPr>
            </w:pPr>
          </w:p>
          <w:p w14:paraId="55E3D7CF" w14:textId="77777777" w:rsidR="00094E94" w:rsidRDefault="00094E94" w:rsidP="00094E94">
            <w:pPr>
              <w:rPr>
                <w:rFonts w:ascii="Times New Roman" w:hAnsi="Times New Roman" w:cs="Times New Roman"/>
                <w:b/>
                <w:strike/>
              </w:rPr>
            </w:pPr>
            <w:r w:rsidRPr="008A30A9">
              <w:rPr>
                <w:rFonts w:ascii="Times New Roman" w:hAnsi="Times New Roman" w:cs="Times New Roman"/>
                <w:b/>
                <w:strike/>
              </w:rPr>
              <w:t>6.</w:t>
            </w:r>
            <w:r w:rsidRPr="008A30A9">
              <w:rPr>
                <w:rFonts w:ascii="Times New Roman" w:hAnsi="Times New Roman" w:cs="Times New Roman"/>
                <w:b/>
                <w:strike/>
              </w:rPr>
              <w:tab/>
              <w:t xml:space="preserve">Bu </w:t>
            </w:r>
            <w:proofErr w:type="spellStart"/>
            <w:r w:rsidRPr="008A30A9">
              <w:rPr>
                <w:rFonts w:ascii="Times New Roman" w:hAnsi="Times New Roman" w:cs="Times New Roman"/>
                <w:b/>
                <w:strike/>
              </w:rPr>
              <w:t>Ek’in</w:t>
            </w:r>
            <w:proofErr w:type="spellEnd"/>
            <w:r w:rsidRPr="008A30A9">
              <w:rPr>
                <w:rFonts w:ascii="Times New Roman" w:hAnsi="Times New Roman" w:cs="Times New Roman"/>
                <w:b/>
                <w:strike/>
              </w:rPr>
              <w:t xml:space="preserve"> 4 üncü maddesinin (b) bendinde belirtilen sonucun elde edilememesi </w:t>
            </w:r>
            <w:proofErr w:type="gramStart"/>
            <w:r w:rsidRPr="008A30A9">
              <w:rPr>
                <w:rFonts w:ascii="Times New Roman" w:hAnsi="Times New Roman" w:cs="Times New Roman"/>
                <w:b/>
                <w:strike/>
              </w:rPr>
              <w:t>halinde,  modelin</w:t>
            </w:r>
            <w:proofErr w:type="gramEnd"/>
            <w:r w:rsidRPr="008A30A9">
              <w:rPr>
                <w:rFonts w:ascii="Times New Roman" w:hAnsi="Times New Roman" w:cs="Times New Roman"/>
                <w:b/>
                <w:strike/>
              </w:rPr>
              <w:t xml:space="preserve"> ve aynı ürün bilgisinin kapsadığı bütün model yapılandırmalarının (bu Tebliğ’in Ek-</w:t>
            </w:r>
            <w:proofErr w:type="spellStart"/>
            <w:r w:rsidRPr="008A30A9">
              <w:rPr>
                <w:rFonts w:ascii="Times New Roman" w:hAnsi="Times New Roman" w:cs="Times New Roman"/>
                <w:b/>
                <w:strike/>
              </w:rPr>
              <w:t>II’sinin</w:t>
            </w:r>
            <w:proofErr w:type="spellEnd"/>
            <w:r w:rsidRPr="008A30A9">
              <w:rPr>
                <w:rFonts w:ascii="Times New Roman" w:hAnsi="Times New Roman" w:cs="Times New Roman"/>
                <w:b/>
                <w:strike/>
              </w:rPr>
              <w:t xml:space="preserve"> 3.1 inci maddesinin (p) bendine göre) bu Tebliğe uygun olmadığı kabul edilir.</w:t>
            </w:r>
          </w:p>
          <w:p w14:paraId="1299FC6F" w14:textId="44444F6B" w:rsidR="00094E94" w:rsidRPr="008A30A9" w:rsidRDefault="00AD089A" w:rsidP="00094E94">
            <w:pPr>
              <w:rPr>
                <w:rFonts w:ascii="Times New Roman" w:hAnsi="Times New Roman" w:cs="Times New Roman"/>
                <w:b/>
                <w:strike/>
              </w:rPr>
            </w:pPr>
            <w:r>
              <w:rPr>
                <w:rFonts w:ascii="Times New Roman" w:hAnsi="Times New Roman" w:cs="Times New Roman"/>
                <w:b/>
                <w:strike/>
              </w:rPr>
              <w:t xml:space="preserve">7. </w:t>
            </w:r>
            <w:r w:rsidR="00094E94" w:rsidRPr="008A30A9">
              <w:rPr>
                <w:rFonts w:ascii="Times New Roman" w:hAnsi="Times New Roman" w:cs="Times New Roman"/>
                <w:b/>
                <w:strike/>
              </w:rPr>
              <w:t xml:space="preserve">Bakanlık, bu Ekin </w:t>
            </w:r>
            <w:proofErr w:type="gramStart"/>
            <w:r w:rsidR="00094E94" w:rsidRPr="008A30A9">
              <w:rPr>
                <w:rFonts w:ascii="Times New Roman" w:hAnsi="Times New Roman" w:cs="Times New Roman"/>
                <w:b/>
                <w:strike/>
              </w:rPr>
              <w:t>3 üncü</w:t>
            </w:r>
            <w:proofErr w:type="gramEnd"/>
            <w:r w:rsidR="00094E94" w:rsidRPr="008A30A9">
              <w:rPr>
                <w:rFonts w:ascii="Times New Roman" w:hAnsi="Times New Roman" w:cs="Times New Roman"/>
                <w:b/>
                <w:strike/>
              </w:rPr>
              <w:t xml:space="preserve"> ve 6 </w:t>
            </w:r>
            <w:proofErr w:type="spellStart"/>
            <w:r w:rsidR="00094E94" w:rsidRPr="008A30A9">
              <w:rPr>
                <w:rFonts w:ascii="Times New Roman" w:hAnsi="Times New Roman" w:cs="Times New Roman"/>
                <w:b/>
                <w:strike/>
              </w:rPr>
              <w:t>ncı</w:t>
            </w:r>
            <w:proofErr w:type="spellEnd"/>
            <w:r w:rsidR="00094E94" w:rsidRPr="008A30A9">
              <w:rPr>
                <w:rFonts w:ascii="Times New Roman" w:hAnsi="Times New Roman" w:cs="Times New Roman"/>
                <w:b/>
                <w:strike/>
              </w:rPr>
              <w:t xml:space="preserve"> maddesine göre modelin uygunsuzluğuna dair karar alınmasından sonra gecikmeksizin, Avrupa Komisyonuna ve Üye Ülkelerin ilgili otoritelerine ilgili tüm bilgileri sağlar.</w:t>
            </w:r>
          </w:p>
          <w:p w14:paraId="4EDF4049" w14:textId="59DCF143" w:rsidR="00094E94" w:rsidRPr="008A30A9" w:rsidRDefault="00094E94" w:rsidP="00002353">
            <w:pPr>
              <w:rPr>
                <w:rFonts w:ascii="Times New Roman" w:hAnsi="Times New Roman" w:cs="Times New Roman"/>
                <w:b/>
                <w:strike/>
              </w:rPr>
            </w:pPr>
          </w:p>
        </w:tc>
        <w:tc>
          <w:tcPr>
            <w:tcW w:w="4531" w:type="dxa"/>
          </w:tcPr>
          <w:p w14:paraId="44B4EDBC" w14:textId="5433B0A4" w:rsidR="00CA5481" w:rsidRPr="008A30A9" w:rsidRDefault="00CA5481" w:rsidP="00002353">
            <w:pPr>
              <w:jc w:val="center"/>
              <w:rPr>
                <w:rFonts w:ascii="Times New Roman" w:hAnsi="Times New Roman" w:cs="Times New Roman"/>
                <w:b/>
              </w:rPr>
            </w:pPr>
            <w:r w:rsidRPr="008A30A9">
              <w:rPr>
                <w:rFonts w:ascii="Times New Roman" w:hAnsi="Times New Roman" w:cs="Times New Roman"/>
                <w:b/>
              </w:rPr>
              <w:lastRenderedPageBreak/>
              <w:t>SUNUCULAR VE VERİ DEPOLAMA ÜRÜNLERİ İLE İLGİLİ ÇEVREYE DUYARLI TASARIM GEREKLİLİKLERİNE DAİR TEBLİĞ (2019/424/AB) (SGM:2021/15)’DE DEĞİŞİKLİK YAPILMASINA DAİR TEBLİĞ (SGM:</w:t>
            </w:r>
            <w:r w:rsidR="004B00E9" w:rsidRPr="008A30A9">
              <w:rPr>
                <w:rFonts w:ascii="Times New Roman" w:hAnsi="Times New Roman" w:cs="Times New Roman"/>
                <w:b/>
              </w:rPr>
              <w:t>202</w:t>
            </w:r>
            <w:r w:rsidR="004B00E9">
              <w:rPr>
                <w:rFonts w:ascii="Times New Roman" w:hAnsi="Times New Roman" w:cs="Times New Roman"/>
                <w:b/>
              </w:rPr>
              <w:t>2</w:t>
            </w:r>
            <w:bookmarkStart w:id="8" w:name="_GoBack"/>
            <w:bookmarkEnd w:id="8"/>
            <w:r w:rsidRPr="008A30A9">
              <w:rPr>
                <w:rFonts w:ascii="Times New Roman" w:hAnsi="Times New Roman" w:cs="Times New Roman"/>
                <w:b/>
              </w:rPr>
              <w:t xml:space="preserve">/..) </w:t>
            </w:r>
          </w:p>
          <w:p w14:paraId="5A4C9537" w14:textId="77777777" w:rsidR="00912BA9" w:rsidRPr="008A30A9" w:rsidRDefault="00912BA9" w:rsidP="00002353">
            <w:pPr>
              <w:rPr>
                <w:rFonts w:ascii="Times New Roman" w:hAnsi="Times New Roman" w:cs="Times New Roman"/>
              </w:rPr>
            </w:pPr>
          </w:p>
          <w:p w14:paraId="310A71B1" w14:textId="77777777" w:rsidR="00D52EC8" w:rsidRPr="008A30A9" w:rsidRDefault="00F94146" w:rsidP="00D52EC8">
            <w:pPr>
              <w:rPr>
                <w:rFonts w:ascii="Times New Roman" w:hAnsi="Times New Roman" w:cs="Times New Roman"/>
              </w:rPr>
            </w:pPr>
            <w:r w:rsidRPr="008A30A9">
              <w:rPr>
                <w:rFonts w:ascii="Times New Roman" w:hAnsi="Times New Roman" w:cs="Times New Roman"/>
                <w:b/>
              </w:rPr>
              <w:t xml:space="preserve">MADDE 1 </w:t>
            </w:r>
            <w:r w:rsidRPr="008A30A9">
              <w:rPr>
                <w:rFonts w:ascii="Times New Roman" w:hAnsi="Times New Roman" w:cs="Times New Roman"/>
              </w:rPr>
              <w:t>–</w:t>
            </w:r>
            <w:r w:rsidRPr="008A30A9">
              <w:rPr>
                <w:rFonts w:ascii="Times New Roman" w:hAnsi="Times New Roman" w:cs="Times New Roman"/>
                <w:b/>
              </w:rPr>
              <w:t xml:space="preserve"> </w:t>
            </w:r>
            <w:r w:rsidR="00D52EC8" w:rsidRPr="008A30A9">
              <w:rPr>
                <w:rFonts w:ascii="Times New Roman" w:hAnsi="Times New Roman" w:cs="Times New Roman"/>
              </w:rPr>
              <w:t xml:space="preserve">25/3/2021 tarihli ve 31434 (Mükerrer) sayılı Resmî </w:t>
            </w:r>
            <w:proofErr w:type="spellStart"/>
            <w:r w:rsidR="00D52EC8" w:rsidRPr="008A30A9">
              <w:rPr>
                <w:rFonts w:ascii="Times New Roman" w:hAnsi="Times New Roman" w:cs="Times New Roman"/>
              </w:rPr>
              <w:t>Gazete’de</w:t>
            </w:r>
            <w:proofErr w:type="spellEnd"/>
            <w:r w:rsidR="00D52EC8" w:rsidRPr="008A30A9">
              <w:rPr>
                <w:rFonts w:ascii="Times New Roman" w:hAnsi="Times New Roman" w:cs="Times New Roman"/>
              </w:rPr>
              <w:t xml:space="preserve"> yayımlanan Sunucular ve Veri Depolama Ürünleri İle İlgili Çevreye Duyarlı Tasarım Gerekliliklerine Dair Tebliğ (2019/424/AB) (SGM:2021/15)’in </w:t>
            </w:r>
            <w:proofErr w:type="gramStart"/>
            <w:r w:rsidR="00D52EC8" w:rsidRPr="008A30A9">
              <w:rPr>
                <w:rFonts w:ascii="Times New Roman" w:hAnsi="Times New Roman" w:cs="Times New Roman"/>
              </w:rPr>
              <w:t xml:space="preserve">6 </w:t>
            </w:r>
            <w:proofErr w:type="spellStart"/>
            <w:r w:rsidR="00D52EC8" w:rsidRPr="008A30A9">
              <w:rPr>
                <w:rFonts w:ascii="Times New Roman" w:hAnsi="Times New Roman" w:cs="Times New Roman"/>
              </w:rPr>
              <w:t>ncı</w:t>
            </w:r>
            <w:proofErr w:type="spellEnd"/>
            <w:proofErr w:type="gramEnd"/>
            <w:r w:rsidR="00D52EC8" w:rsidRPr="008A30A9">
              <w:rPr>
                <w:rFonts w:ascii="Times New Roman" w:hAnsi="Times New Roman" w:cs="Times New Roman"/>
              </w:rPr>
              <w:t xml:space="preserve"> maddesinin ikinci fıkrası aşağıdaki şekilde değiştirilmiştir.</w:t>
            </w:r>
          </w:p>
          <w:p w14:paraId="78B8516A" w14:textId="77777777" w:rsidR="00D52EC8" w:rsidRPr="008A30A9" w:rsidRDefault="00D52EC8" w:rsidP="00D52EC8">
            <w:pPr>
              <w:rPr>
                <w:rFonts w:ascii="Times New Roman" w:hAnsi="Times New Roman" w:cs="Times New Roman"/>
              </w:rPr>
            </w:pPr>
          </w:p>
          <w:p w14:paraId="761EC1AB" w14:textId="372AC023" w:rsidR="00F94146" w:rsidRPr="008A30A9" w:rsidRDefault="00D52EC8" w:rsidP="00002353">
            <w:pPr>
              <w:rPr>
                <w:rFonts w:ascii="Times New Roman" w:hAnsi="Times New Roman" w:cs="Times New Roman"/>
                <w:color w:val="FF0000"/>
              </w:rPr>
            </w:pPr>
            <w:r w:rsidRPr="008A30A9">
              <w:rPr>
                <w:rFonts w:ascii="Times New Roman" w:hAnsi="Times New Roman" w:cs="Times New Roman"/>
              </w:rPr>
              <w:t xml:space="preserve">“(2) </w:t>
            </w:r>
            <w:r w:rsidRPr="008A30A9">
              <w:rPr>
                <w:rFonts w:ascii="Times New Roman" w:hAnsi="Times New Roman" w:cs="Times New Roman"/>
                <w:b/>
                <w:u w:val="single"/>
              </w:rPr>
              <w:t>Enerji ile İlgili Ürünlerin Çevreye Duyarlı Tasarımına İlişkin Yönetmeliğin 10 uncu maddesi uyarınca uygunluk değerlendirmesinin amaçları bakımından, teknik dosya bu Tebliğin Ek-</w:t>
            </w:r>
            <w:proofErr w:type="spellStart"/>
            <w:r w:rsidRPr="008A30A9">
              <w:rPr>
                <w:rFonts w:ascii="Times New Roman" w:hAnsi="Times New Roman" w:cs="Times New Roman"/>
                <w:b/>
                <w:u w:val="single"/>
              </w:rPr>
              <w:t>II’sinin</w:t>
            </w:r>
            <w:proofErr w:type="spellEnd"/>
            <w:r w:rsidRPr="008A30A9">
              <w:rPr>
                <w:rFonts w:ascii="Times New Roman" w:hAnsi="Times New Roman" w:cs="Times New Roman"/>
                <w:b/>
                <w:u w:val="single"/>
              </w:rPr>
              <w:t xml:space="preserve"> 3.</w:t>
            </w:r>
            <w:proofErr w:type="gramStart"/>
            <w:r w:rsidRPr="008A30A9">
              <w:rPr>
                <w:rFonts w:ascii="Times New Roman" w:hAnsi="Times New Roman" w:cs="Times New Roman"/>
                <w:b/>
                <w:u w:val="single"/>
              </w:rPr>
              <w:t>4 üncü</w:t>
            </w:r>
            <w:proofErr w:type="gramEnd"/>
            <w:r w:rsidRPr="008A30A9">
              <w:rPr>
                <w:rFonts w:ascii="Times New Roman" w:hAnsi="Times New Roman" w:cs="Times New Roman"/>
                <w:b/>
                <w:u w:val="single"/>
              </w:rPr>
              <w:t xml:space="preserve"> maddesinde yer alan ürün bilgilerinin bir kopyasını ve Ek </w:t>
            </w:r>
            <w:proofErr w:type="spellStart"/>
            <w:r w:rsidRPr="008A30A9">
              <w:rPr>
                <w:rFonts w:ascii="Times New Roman" w:hAnsi="Times New Roman" w:cs="Times New Roman"/>
                <w:b/>
                <w:u w:val="single"/>
              </w:rPr>
              <w:t>III'te</w:t>
            </w:r>
            <w:proofErr w:type="spellEnd"/>
            <w:r w:rsidRPr="008A30A9">
              <w:rPr>
                <w:rFonts w:ascii="Times New Roman" w:hAnsi="Times New Roman" w:cs="Times New Roman"/>
                <w:b/>
                <w:u w:val="single"/>
              </w:rPr>
              <w:t xml:space="preserve"> ve uygun olduğu durumlarda, bu Tebliğin Ek </w:t>
            </w:r>
            <w:proofErr w:type="spellStart"/>
            <w:r w:rsidRPr="008A30A9">
              <w:rPr>
                <w:rFonts w:ascii="Times New Roman" w:hAnsi="Times New Roman" w:cs="Times New Roman"/>
                <w:b/>
                <w:u w:val="single"/>
              </w:rPr>
              <w:t>II’sinin</w:t>
            </w:r>
            <w:proofErr w:type="spellEnd"/>
            <w:r w:rsidRPr="008A30A9">
              <w:rPr>
                <w:rFonts w:ascii="Times New Roman" w:hAnsi="Times New Roman" w:cs="Times New Roman"/>
                <w:b/>
                <w:u w:val="single"/>
              </w:rPr>
              <w:t xml:space="preserve"> 2 </w:t>
            </w:r>
            <w:proofErr w:type="spellStart"/>
            <w:r w:rsidRPr="008A30A9">
              <w:rPr>
                <w:rFonts w:ascii="Times New Roman" w:hAnsi="Times New Roman" w:cs="Times New Roman"/>
                <w:b/>
                <w:u w:val="single"/>
              </w:rPr>
              <w:t>nci</w:t>
            </w:r>
            <w:proofErr w:type="spellEnd"/>
            <w:r w:rsidRPr="008A30A9">
              <w:rPr>
                <w:rFonts w:ascii="Times New Roman" w:hAnsi="Times New Roman" w:cs="Times New Roman"/>
                <w:b/>
                <w:u w:val="single"/>
              </w:rPr>
              <w:t xml:space="preserve"> maddesinde belirtilen hesaplamaların ayrıntılarını ve sonuçlarını içerir</w:t>
            </w:r>
            <w:r w:rsidRPr="008A30A9">
              <w:rPr>
                <w:rFonts w:ascii="Times New Roman" w:hAnsi="Times New Roman" w:cs="Times New Roman"/>
              </w:rPr>
              <w:t>.”</w:t>
            </w:r>
          </w:p>
          <w:p w14:paraId="14F8B0AA" w14:textId="77777777" w:rsidR="00F94146" w:rsidRPr="008A30A9" w:rsidRDefault="00F94146" w:rsidP="00002353">
            <w:pPr>
              <w:rPr>
                <w:rFonts w:ascii="Times New Roman" w:hAnsi="Times New Roman" w:cs="Times New Roman"/>
                <w:color w:val="FF0000"/>
              </w:rPr>
            </w:pPr>
          </w:p>
          <w:p w14:paraId="39779883" w14:textId="77777777" w:rsidR="00D52EC8" w:rsidRPr="008A30A9" w:rsidRDefault="00F94146" w:rsidP="00D52EC8">
            <w:pPr>
              <w:rPr>
                <w:rFonts w:ascii="Times New Roman" w:hAnsi="Times New Roman" w:cs="Times New Roman"/>
              </w:rPr>
            </w:pPr>
            <w:r w:rsidRPr="008A30A9">
              <w:rPr>
                <w:rFonts w:ascii="Times New Roman" w:hAnsi="Times New Roman" w:cs="Times New Roman"/>
                <w:b/>
                <w:bCs/>
              </w:rPr>
              <w:t>MADDE 2</w:t>
            </w:r>
            <w:r w:rsidRPr="008A30A9">
              <w:rPr>
                <w:rFonts w:ascii="Times New Roman" w:hAnsi="Times New Roman" w:cs="Times New Roman"/>
              </w:rPr>
              <w:t xml:space="preserve"> – </w:t>
            </w:r>
            <w:r w:rsidR="00D52EC8" w:rsidRPr="008A30A9">
              <w:rPr>
                <w:rFonts w:ascii="Times New Roman" w:hAnsi="Times New Roman" w:cs="Times New Roman"/>
              </w:rPr>
              <w:t>Aynı Tebliğin 8 inci maddesinin birinci fıkrası aşağıdaki şekilde değiştirilmiştir.</w:t>
            </w:r>
          </w:p>
          <w:p w14:paraId="3186A7BC" w14:textId="33E2CB5D" w:rsidR="00F94146" w:rsidRPr="008A30A9" w:rsidRDefault="00D52EC8" w:rsidP="00002353">
            <w:pPr>
              <w:rPr>
                <w:rFonts w:ascii="Times New Roman" w:hAnsi="Times New Roman" w:cs="Times New Roman"/>
              </w:rPr>
            </w:pPr>
            <w:r w:rsidRPr="008A30A9">
              <w:rPr>
                <w:rFonts w:ascii="Times New Roman" w:hAnsi="Times New Roman" w:cs="Times New Roman"/>
              </w:rPr>
              <w:t xml:space="preserve">“(1) </w:t>
            </w:r>
            <w:r w:rsidRPr="008A30A9">
              <w:rPr>
                <w:rFonts w:ascii="Times New Roman" w:hAnsi="Times New Roman" w:cs="Times New Roman"/>
                <w:b/>
                <w:u w:val="single"/>
              </w:rPr>
              <w:t>İmalatçı, ithalatçı veya yetkili temsilci test edildiğini algılayabilecek (örneğin, test koşullarını veya test döngüsünü tanıyarak) ve teknik dosya içerisindeki veya sağlanan herhangi bir dosya içeriğindeki parametrelerden herhangi biri için daha uygun bir seviyeye ulaşmak amacıyla test sırasında otomatik olarak performansını değiştirerek belirli bir biçimde tepki verecek şekilde tasarlanan ürünleri piyasaya arz edemez</w:t>
            </w:r>
            <w:r w:rsidRPr="008A30A9">
              <w:rPr>
                <w:rFonts w:ascii="Times New Roman" w:hAnsi="Times New Roman" w:cs="Times New Roman"/>
              </w:rPr>
              <w:t>.”</w:t>
            </w:r>
          </w:p>
          <w:p w14:paraId="15DDB782" w14:textId="77777777" w:rsidR="00F94146" w:rsidRPr="008A30A9" w:rsidRDefault="00F94146" w:rsidP="00002353">
            <w:pPr>
              <w:rPr>
                <w:rFonts w:ascii="Times New Roman" w:hAnsi="Times New Roman" w:cs="Times New Roman"/>
                <w:color w:val="FF0000"/>
              </w:rPr>
            </w:pPr>
          </w:p>
          <w:p w14:paraId="55D891BE" w14:textId="62F5A724" w:rsidR="00D52EC8" w:rsidRPr="008A30A9" w:rsidRDefault="00F94146" w:rsidP="00D52EC8">
            <w:pPr>
              <w:rPr>
                <w:rFonts w:ascii="Times New Roman" w:hAnsi="Times New Roman" w:cs="Times New Roman"/>
              </w:rPr>
            </w:pPr>
            <w:r w:rsidRPr="008A30A9">
              <w:rPr>
                <w:rFonts w:ascii="Times New Roman" w:hAnsi="Times New Roman" w:cs="Times New Roman"/>
                <w:b/>
                <w:bCs/>
              </w:rPr>
              <w:t>MADDE 3</w:t>
            </w:r>
            <w:r w:rsidRPr="008A30A9">
              <w:rPr>
                <w:rFonts w:ascii="Times New Roman" w:hAnsi="Times New Roman" w:cs="Times New Roman"/>
              </w:rPr>
              <w:t xml:space="preserve"> – </w:t>
            </w:r>
            <w:r w:rsidR="00D52EC8" w:rsidRPr="008A30A9">
              <w:rPr>
                <w:rFonts w:ascii="Times New Roman" w:hAnsi="Times New Roman" w:cs="Times New Roman"/>
              </w:rPr>
              <w:t xml:space="preserve">Aynı Tebliğin </w:t>
            </w:r>
            <w:r w:rsidR="007C547B" w:rsidRPr="008A30A9">
              <w:rPr>
                <w:rFonts w:ascii="Times New Roman" w:hAnsi="Times New Roman" w:cs="Times New Roman"/>
              </w:rPr>
              <w:t>E</w:t>
            </w:r>
            <w:r w:rsidR="007C547B">
              <w:rPr>
                <w:rFonts w:ascii="Times New Roman" w:hAnsi="Times New Roman" w:cs="Times New Roman"/>
              </w:rPr>
              <w:t>k</w:t>
            </w:r>
            <w:r w:rsidR="00D52EC8" w:rsidRPr="008A30A9">
              <w:rPr>
                <w:rFonts w:ascii="Times New Roman" w:hAnsi="Times New Roman" w:cs="Times New Roman"/>
              </w:rPr>
              <w:t>-</w:t>
            </w:r>
            <w:proofErr w:type="spellStart"/>
            <w:r w:rsidR="00D52EC8" w:rsidRPr="008A30A9">
              <w:rPr>
                <w:rFonts w:ascii="Times New Roman" w:hAnsi="Times New Roman" w:cs="Times New Roman"/>
              </w:rPr>
              <w:t>I’inin</w:t>
            </w:r>
            <w:proofErr w:type="spellEnd"/>
            <w:r w:rsidR="00D52EC8" w:rsidRPr="008A30A9">
              <w:rPr>
                <w:rFonts w:ascii="Times New Roman" w:hAnsi="Times New Roman" w:cs="Times New Roman"/>
              </w:rPr>
              <w:t xml:space="preserve"> (c), (ç) ve (d) bentleri aşağıdaki şekilde değiştirilmiş, aynı Eke aşağıdaki (</w:t>
            </w:r>
            <w:proofErr w:type="spellStart"/>
            <w:r w:rsidR="00D52EC8" w:rsidRPr="008A30A9">
              <w:rPr>
                <w:rFonts w:ascii="Times New Roman" w:hAnsi="Times New Roman" w:cs="Times New Roman"/>
              </w:rPr>
              <w:t>ff</w:t>
            </w:r>
            <w:proofErr w:type="spellEnd"/>
            <w:r w:rsidR="00D52EC8" w:rsidRPr="008A30A9">
              <w:rPr>
                <w:rFonts w:ascii="Times New Roman" w:hAnsi="Times New Roman" w:cs="Times New Roman"/>
              </w:rPr>
              <w:t xml:space="preserve">) bendi eklenmiştir. </w:t>
            </w:r>
          </w:p>
          <w:p w14:paraId="705BFF8F" w14:textId="77777777" w:rsidR="00D52EC8" w:rsidRPr="008A30A9" w:rsidRDefault="00D52EC8" w:rsidP="00D52EC8">
            <w:pPr>
              <w:rPr>
                <w:rFonts w:ascii="Times New Roman" w:hAnsi="Times New Roman" w:cs="Times New Roman"/>
              </w:rPr>
            </w:pPr>
          </w:p>
          <w:p w14:paraId="1468137A" w14:textId="77777777" w:rsidR="00D52EC8" w:rsidRPr="008A30A9" w:rsidRDefault="00D52EC8" w:rsidP="00D52EC8">
            <w:pPr>
              <w:rPr>
                <w:rFonts w:ascii="Times New Roman" w:hAnsi="Times New Roman" w:cs="Times New Roman"/>
              </w:rPr>
            </w:pPr>
            <w:r w:rsidRPr="008A30A9">
              <w:rPr>
                <w:rFonts w:ascii="Times New Roman" w:hAnsi="Times New Roman" w:cs="Times New Roman"/>
              </w:rPr>
              <w:t>“</w:t>
            </w:r>
            <w:proofErr w:type="gramStart"/>
            <w:r w:rsidRPr="008A30A9">
              <w:rPr>
                <w:rFonts w:ascii="Times New Roman" w:hAnsi="Times New Roman" w:cs="Times New Roman"/>
              </w:rPr>
              <w:t>c</w:t>
            </w:r>
            <w:proofErr w:type="gramEnd"/>
            <w:r w:rsidRPr="008A30A9">
              <w:rPr>
                <w:rFonts w:ascii="Times New Roman" w:hAnsi="Times New Roman" w:cs="Times New Roman"/>
              </w:rPr>
              <w:t xml:space="preserve">) </w:t>
            </w:r>
            <w:proofErr w:type="spellStart"/>
            <w:r w:rsidRPr="008A30A9">
              <w:rPr>
                <w:rFonts w:ascii="Times New Roman" w:hAnsi="Times New Roman" w:cs="Times New Roman"/>
                <w:b/>
                <w:u w:val="single"/>
              </w:rPr>
              <w:t>Anakart</w:t>
            </w:r>
            <w:proofErr w:type="spellEnd"/>
            <w:r w:rsidRPr="008A30A9">
              <w:rPr>
                <w:rFonts w:ascii="Times New Roman" w:hAnsi="Times New Roman" w:cs="Times New Roman"/>
                <w:b/>
                <w:u w:val="single"/>
              </w:rPr>
              <w:t xml:space="preserve">: Sunucunun veya veri depolama ürününün temel devre kartıdır. </w:t>
            </w:r>
            <w:proofErr w:type="spellStart"/>
            <w:r w:rsidRPr="008A30A9">
              <w:rPr>
                <w:rFonts w:ascii="Times New Roman" w:hAnsi="Times New Roman" w:cs="Times New Roman"/>
                <w:b/>
                <w:u w:val="single"/>
              </w:rPr>
              <w:t>Anakart</w:t>
            </w:r>
            <w:proofErr w:type="spellEnd"/>
            <w:r w:rsidRPr="008A30A9">
              <w:rPr>
                <w:rFonts w:ascii="Times New Roman" w:hAnsi="Times New Roman" w:cs="Times New Roman"/>
                <w:b/>
                <w:u w:val="single"/>
              </w:rPr>
              <w:t xml:space="preserve">, bu Tebliğin amaçları bakımından, tali kartları bağlamak için </w:t>
            </w:r>
            <w:proofErr w:type="spellStart"/>
            <w:r w:rsidRPr="008A30A9">
              <w:rPr>
                <w:rFonts w:ascii="Times New Roman" w:hAnsi="Times New Roman" w:cs="Times New Roman"/>
                <w:b/>
                <w:u w:val="single"/>
              </w:rPr>
              <w:t>konnektörler</w:t>
            </w:r>
            <w:proofErr w:type="spellEnd"/>
            <w:r w:rsidRPr="008A30A9">
              <w:rPr>
                <w:rFonts w:ascii="Times New Roman" w:hAnsi="Times New Roman" w:cs="Times New Roman"/>
                <w:b/>
                <w:u w:val="single"/>
              </w:rPr>
              <w:t xml:space="preserve"> ve genellikle işlemci, </w:t>
            </w:r>
            <w:proofErr w:type="gramStart"/>
            <w:r w:rsidRPr="008A30A9">
              <w:rPr>
                <w:rFonts w:ascii="Times New Roman" w:hAnsi="Times New Roman" w:cs="Times New Roman"/>
                <w:b/>
                <w:u w:val="single"/>
              </w:rPr>
              <w:t>bellek,  BIOS</w:t>
            </w:r>
            <w:proofErr w:type="gramEnd"/>
            <w:r w:rsidRPr="008A30A9">
              <w:rPr>
                <w:rFonts w:ascii="Times New Roman" w:hAnsi="Times New Roman" w:cs="Times New Roman"/>
                <w:b/>
                <w:u w:val="single"/>
              </w:rPr>
              <w:t xml:space="preserve"> ve genişletme soketleri içerir</w:t>
            </w:r>
            <w:r w:rsidRPr="008A30A9">
              <w:rPr>
                <w:rFonts w:ascii="Times New Roman" w:hAnsi="Times New Roman" w:cs="Times New Roman"/>
              </w:rPr>
              <w:t>.”</w:t>
            </w:r>
          </w:p>
          <w:p w14:paraId="77BFF2FA" w14:textId="77777777" w:rsidR="00D52EC8" w:rsidRPr="008A30A9" w:rsidRDefault="00D52EC8" w:rsidP="00D52EC8">
            <w:pPr>
              <w:rPr>
                <w:rFonts w:ascii="Times New Roman" w:hAnsi="Times New Roman" w:cs="Times New Roman"/>
              </w:rPr>
            </w:pPr>
          </w:p>
          <w:p w14:paraId="19D961D9" w14:textId="77777777" w:rsidR="00D52EC8" w:rsidRPr="008A30A9" w:rsidRDefault="00D52EC8" w:rsidP="00D52EC8">
            <w:pPr>
              <w:rPr>
                <w:rFonts w:ascii="Times New Roman" w:hAnsi="Times New Roman" w:cs="Times New Roman"/>
              </w:rPr>
            </w:pPr>
            <w:r w:rsidRPr="008A30A9">
              <w:rPr>
                <w:rFonts w:ascii="Times New Roman" w:hAnsi="Times New Roman" w:cs="Times New Roman"/>
              </w:rPr>
              <w:t>“</w:t>
            </w:r>
            <w:proofErr w:type="gramStart"/>
            <w:r w:rsidRPr="008A30A9">
              <w:rPr>
                <w:rFonts w:ascii="Times New Roman" w:hAnsi="Times New Roman" w:cs="Times New Roman"/>
              </w:rPr>
              <w:t>ç</w:t>
            </w:r>
            <w:proofErr w:type="gramEnd"/>
            <w:r w:rsidRPr="008A30A9">
              <w:rPr>
                <w:rFonts w:ascii="Times New Roman" w:hAnsi="Times New Roman" w:cs="Times New Roman"/>
              </w:rPr>
              <w:t xml:space="preserve">) </w:t>
            </w:r>
            <w:r w:rsidRPr="008A30A9">
              <w:rPr>
                <w:rFonts w:ascii="Times New Roman" w:hAnsi="Times New Roman" w:cs="Times New Roman"/>
                <w:b/>
                <w:u w:val="single"/>
              </w:rPr>
              <w:t xml:space="preserve">İşlemci: Sunucuyu veya veri depolama ürününü çalıştıran temel komutları işleyen ve yanıtlayan lojik devre sistemidir. İşlemci, bu Tebliğin amaçları bakımından, sunucunun Merkezi İşlem Birimi (CPU) </w:t>
            </w:r>
            <w:proofErr w:type="spellStart"/>
            <w:r w:rsidRPr="008A30A9">
              <w:rPr>
                <w:rFonts w:ascii="Times New Roman" w:hAnsi="Times New Roman" w:cs="Times New Roman"/>
                <w:b/>
                <w:u w:val="single"/>
              </w:rPr>
              <w:t>dir</w:t>
            </w:r>
            <w:proofErr w:type="spellEnd"/>
            <w:r w:rsidRPr="008A30A9">
              <w:rPr>
                <w:rFonts w:ascii="Times New Roman" w:hAnsi="Times New Roman" w:cs="Times New Roman"/>
                <w:b/>
                <w:u w:val="single"/>
              </w:rPr>
              <w:t xml:space="preserve">. Sıradan bir CPU, bir soket ya da doğrudan lehim bağlantısıyla sunucu </w:t>
            </w:r>
            <w:proofErr w:type="spellStart"/>
            <w:r w:rsidRPr="008A30A9">
              <w:rPr>
                <w:rFonts w:ascii="Times New Roman" w:hAnsi="Times New Roman" w:cs="Times New Roman"/>
                <w:b/>
                <w:u w:val="single"/>
              </w:rPr>
              <w:t>anakartı</w:t>
            </w:r>
            <w:proofErr w:type="spellEnd"/>
            <w:r w:rsidRPr="008A30A9">
              <w:rPr>
                <w:rFonts w:ascii="Times New Roman" w:hAnsi="Times New Roman" w:cs="Times New Roman"/>
                <w:b/>
                <w:u w:val="single"/>
              </w:rPr>
              <w:t xml:space="preserve"> üzerine kurulmuş fiziksel bir pakettir. CPU paketi bir veya daha fazla işlemci çekirdeği içerebilir</w:t>
            </w:r>
            <w:r w:rsidRPr="008A30A9">
              <w:rPr>
                <w:rFonts w:ascii="Times New Roman" w:hAnsi="Times New Roman" w:cs="Times New Roman"/>
              </w:rPr>
              <w:t>.”</w:t>
            </w:r>
          </w:p>
          <w:p w14:paraId="438B9394" w14:textId="77777777" w:rsidR="00D52EC8" w:rsidRPr="008A30A9" w:rsidRDefault="00D52EC8" w:rsidP="00D52EC8">
            <w:pPr>
              <w:rPr>
                <w:rFonts w:ascii="Times New Roman" w:hAnsi="Times New Roman" w:cs="Times New Roman"/>
              </w:rPr>
            </w:pPr>
          </w:p>
          <w:p w14:paraId="5CA9751F" w14:textId="77777777" w:rsidR="00D52EC8" w:rsidRPr="008A30A9" w:rsidRDefault="00D52EC8" w:rsidP="00D52EC8">
            <w:pPr>
              <w:rPr>
                <w:rFonts w:ascii="Times New Roman" w:hAnsi="Times New Roman" w:cs="Times New Roman"/>
              </w:rPr>
            </w:pPr>
            <w:r w:rsidRPr="008A30A9">
              <w:rPr>
                <w:rFonts w:ascii="Times New Roman" w:hAnsi="Times New Roman" w:cs="Times New Roman"/>
              </w:rPr>
              <w:t>“</w:t>
            </w:r>
            <w:proofErr w:type="gramStart"/>
            <w:r w:rsidRPr="008A30A9">
              <w:rPr>
                <w:rFonts w:ascii="Times New Roman" w:hAnsi="Times New Roman" w:cs="Times New Roman"/>
              </w:rPr>
              <w:t>d</w:t>
            </w:r>
            <w:proofErr w:type="gramEnd"/>
            <w:r w:rsidRPr="008A30A9">
              <w:rPr>
                <w:rFonts w:ascii="Times New Roman" w:hAnsi="Times New Roman" w:cs="Times New Roman"/>
              </w:rPr>
              <w:t xml:space="preserve">) </w:t>
            </w:r>
            <w:r w:rsidRPr="008A30A9">
              <w:rPr>
                <w:rFonts w:ascii="Times New Roman" w:hAnsi="Times New Roman" w:cs="Times New Roman"/>
                <w:b/>
                <w:u w:val="single"/>
              </w:rPr>
              <w:t xml:space="preserve">Bellek: Gigabayt (GB) olarak ifade edilen, bilginin anında kullanılmak üzere işlemci </w:t>
            </w:r>
            <w:r w:rsidRPr="008A30A9">
              <w:rPr>
                <w:rFonts w:ascii="Times New Roman" w:hAnsi="Times New Roman" w:cs="Times New Roman"/>
                <w:b/>
                <w:u w:val="single"/>
              </w:rPr>
              <w:lastRenderedPageBreak/>
              <w:t>tarafından depolandığı, işlemcinin dışında kalan bir sunucu veya veri depolama ürünü parçasıdır</w:t>
            </w:r>
            <w:r w:rsidRPr="008A30A9">
              <w:rPr>
                <w:rFonts w:ascii="Times New Roman" w:hAnsi="Times New Roman" w:cs="Times New Roman"/>
              </w:rPr>
              <w:t>.”</w:t>
            </w:r>
          </w:p>
          <w:p w14:paraId="6BFF16BA" w14:textId="77777777" w:rsidR="00D52EC8" w:rsidRPr="008A30A9" w:rsidRDefault="00D52EC8" w:rsidP="00D52EC8">
            <w:pPr>
              <w:rPr>
                <w:rFonts w:ascii="Times New Roman" w:hAnsi="Times New Roman" w:cs="Times New Roman"/>
              </w:rPr>
            </w:pPr>
          </w:p>
          <w:p w14:paraId="34BF9B7B" w14:textId="71EF3870" w:rsidR="00F94146" w:rsidRPr="008A30A9" w:rsidRDefault="00D52EC8" w:rsidP="00002353">
            <w:pPr>
              <w:rPr>
                <w:rFonts w:ascii="Times New Roman" w:hAnsi="Times New Roman" w:cs="Times New Roman"/>
                <w:b/>
                <w:u w:val="single"/>
              </w:rPr>
            </w:pPr>
            <w:r w:rsidRPr="008A30A9">
              <w:rPr>
                <w:rFonts w:ascii="Times New Roman" w:hAnsi="Times New Roman" w:cs="Times New Roman"/>
              </w:rPr>
              <w:t>“</w:t>
            </w:r>
            <w:proofErr w:type="spellStart"/>
            <w:proofErr w:type="gramStart"/>
            <w:r w:rsidRPr="008A30A9">
              <w:rPr>
                <w:rFonts w:ascii="Times New Roman" w:hAnsi="Times New Roman" w:cs="Times New Roman"/>
                <w:b/>
                <w:u w:val="single"/>
              </w:rPr>
              <w:t>ff</w:t>
            </w:r>
            <w:proofErr w:type="spellEnd"/>
            <w:proofErr w:type="gramEnd"/>
            <w:r w:rsidRPr="008A30A9">
              <w:rPr>
                <w:rFonts w:ascii="Times New Roman" w:hAnsi="Times New Roman" w:cs="Times New Roman"/>
                <w:b/>
                <w:u w:val="single"/>
              </w:rPr>
              <w:t>) Beyan edilen değerler: Bakanlık tarafından uygunluğun doğrulanması için Madde 6 uyarınca belirtilen, hesaplanan veya ölçülen teknik parametreler için imalatçı, ithalatçı veya yetkili temsilci tarafından sağlanan değerlerdir</w:t>
            </w:r>
            <w:r w:rsidRPr="008A30A9">
              <w:rPr>
                <w:rFonts w:ascii="Times New Roman" w:hAnsi="Times New Roman" w:cs="Times New Roman"/>
              </w:rPr>
              <w:t>.”</w:t>
            </w:r>
          </w:p>
          <w:p w14:paraId="35BC8611" w14:textId="77777777" w:rsidR="00F94146" w:rsidRPr="008A30A9" w:rsidRDefault="00F94146" w:rsidP="00002353">
            <w:pPr>
              <w:rPr>
                <w:rFonts w:ascii="Times New Roman" w:hAnsi="Times New Roman" w:cs="Times New Roman"/>
                <w:color w:val="FF0000"/>
              </w:rPr>
            </w:pPr>
          </w:p>
          <w:p w14:paraId="1BB334B0" w14:textId="051A09EA" w:rsidR="00D52EC8" w:rsidRPr="00D52EC8" w:rsidRDefault="00F94146" w:rsidP="00D52EC8">
            <w:pPr>
              <w:rPr>
                <w:rFonts w:ascii="Times New Roman" w:hAnsi="Times New Roman" w:cs="Times New Roman"/>
              </w:rPr>
            </w:pPr>
            <w:r w:rsidRPr="008A30A9">
              <w:rPr>
                <w:rFonts w:ascii="Times New Roman" w:hAnsi="Times New Roman" w:cs="Times New Roman"/>
                <w:b/>
                <w:bCs/>
              </w:rPr>
              <w:t>MADDE 4</w:t>
            </w:r>
            <w:r w:rsidRPr="008A30A9">
              <w:rPr>
                <w:rFonts w:ascii="Times New Roman" w:hAnsi="Times New Roman" w:cs="Times New Roman"/>
              </w:rPr>
              <w:t xml:space="preserve"> – </w:t>
            </w:r>
            <w:r w:rsidR="00D52EC8" w:rsidRPr="00D52EC8">
              <w:rPr>
                <w:rFonts w:ascii="Times New Roman" w:hAnsi="Times New Roman" w:cs="Times New Roman"/>
              </w:rPr>
              <w:t xml:space="preserve">Aynı Tebliğin </w:t>
            </w:r>
            <w:r w:rsidR="007C547B" w:rsidRPr="00D52EC8">
              <w:rPr>
                <w:rFonts w:ascii="Times New Roman" w:hAnsi="Times New Roman" w:cs="Times New Roman"/>
              </w:rPr>
              <w:t>E</w:t>
            </w:r>
            <w:r w:rsidR="007C547B">
              <w:rPr>
                <w:rFonts w:ascii="Times New Roman" w:hAnsi="Times New Roman" w:cs="Times New Roman"/>
              </w:rPr>
              <w:t>k</w:t>
            </w:r>
            <w:r w:rsidR="00D52EC8" w:rsidRPr="00D52EC8">
              <w:rPr>
                <w:rFonts w:ascii="Times New Roman" w:hAnsi="Times New Roman" w:cs="Times New Roman"/>
              </w:rPr>
              <w:t>-</w:t>
            </w:r>
            <w:proofErr w:type="spellStart"/>
            <w:r w:rsidR="00D52EC8" w:rsidRPr="00D52EC8">
              <w:rPr>
                <w:rFonts w:ascii="Times New Roman" w:hAnsi="Times New Roman" w:cs="Times New Roman"/>
              </w:rPr>
              <w:t>III’ünün</w:t>
            </w:r>
            <w:proofErr w:type="spellEnd"/>
            <w:r w:rsidR="00D52EC8" w:rsidRPr="00D52EC8">
              <w:rPr>
                <w:rFonts w:ascii="Times New Roman" w:hAnsi="Times New Roman" w:cs="Times New Roman"/>
              </w:rPr>
              <w:t xml:space="preserve"> 1 inci maddesinin sonuna aşağıdaki cümle eklenmiştir.</w:t>
            </w:r>
          </w:p>
          <w:p w14:paraId="44F8FA09" w14:textId="77777777" w:rsidR="00D52EC8" w:rsidRPr="00D52EC8" w:rsidRDefault="00D52EC8" w:rsidP="00D52EC8">
            <w:pPr>
              <w:rPr>
                <w:rFonts w:ascii="Times New Roman" w:hAnsi="Times New Roman" w:cs="Times New Roman"/>
              </w:rPr>
            </w:pPr>
          </w:p>
          <w:p w14:paraId="0FA91290" w14:textId="1106AB44" w:rsidR="00F94146" w:rsidRPr="008A30A9" w:rsidRDefault="00D52EC8" w:rsidP="00002353">
            <w:pPr>
              <w:rPr>
                <w:rFonts w:ascii="Times New Roman" w:hAnsi="Times New Roman" w:cs="Times New Roman"/>
                <w:b/>
                <w:u w:val="single"/>
              </w:rPr>
            </w:pPr>
            <w:r w:rsidRPr="00D52EC8">
              <w:rPr>
                <w:rFonts w:ascii="Times New Roman" w:hAnsi="Times New Roman" w:cs="Times New Roman"/>
              </w:rPr>
              <w:t>“</w:t>
            </w:r>
            <w:r w:rsidRPr="008A30A9">
              <w:rPr>
                <w:rFonts w:ascii="Times New Roman" w:hAnsi="Times New Roman" w:cs="Times New Roman"/>
                <w:b/>
                <w:u w:val="single"/>
              </w:rPr>
              <w:t xml:space="preserve">Mevcut ilgili standartların bulunmaması halinde ve ilgili uyumlaştırılmış standartların referans numaralarının AB Resmî </w:t>
            </w:r>
            <w:proofErr w:type="spellStart"/>
            <w:r w:rsidRPr="008A30A9">
              <w:rPr>
                <w:rFonts w:ascii="Times New Roman" w:hAnsi="Times New Roman" w:cs="Times New Roman"/>
                <w:b/>
                <w:u w:val="single"/>
              </w:rPr>
              <w:t>Gazete’sinde</w:t>
            </w:r>
            <w:proofErr w:type="spellEnd"/>
            <w:r w:rsidRPr="008A30A9">
              <w:rPr>
                <w:rFonts w:ascii="Times New Roman" w:hAnsi="Times New Roman" w:cs="Times New Roman"/>
                <w:b/>
                <w:u w:val="single"/>
              </w:rPr>
              <w:t xml:space="preserve"> yayınlanmasına kadar, Ek </w:t>
            </w:r>
            <w:proofErr w:type="spellStart"/>
            <w:r w:rsidRPr="008A30A9">
              <w:rPr>
                <w:rFonts w:ascii="Times New Roman" w:hAnsi="Times New Roman" w:cs="Times New Roman"/>
                <w:b/>
                <w:u w:val="single"/>
              </w:rPr>
              <w:t>IIIa'da</w:t>
            </w:r>
            <w:proofErr w:type="spellEnd"/>
            <w:r w:rsidRPr="008A30A9">
              <w:rPr>
                <w:rFonts w:ascii="Times New Roman" w:hAnsi="Times New Roman" w:cs="Times New Roman"/>
                <w:b/>
                <w:u w:val="single"/>
              </w:rPr>
              <w:t xml:space="preserve"> belirtilen geçici test yöntemleri veya genel olarak tanınan, en son teknolojiyi dikkate alan diğer güvenilir, doğru ve tekrarlanabilir yöntemler kullanılır.</w:t>
            </w:r>
            <w:r w:rsidRPr="00D52EC8">
              <w:rPr>
                <w:rFonts w:ascii="Times New Roman" w:hAnsi="Times New Roman" w:cs="Times New Roman"/>
              </w:rPr>
              <w:t>”</w:t>
            </w:r>
          </w:p>
          <w:p w14:paraId="6439E1F9" w14:textId="77777777" w:rsidR="00F94146" w:rsidRPr="008A30A9" w:rsidRDefault="00F94146" w:rsidP="00002353">
            <w:pPr>
              <w:rPr>
                <w:rFonts w:ascii="Times New Roman" w:hAnsi="Times New Roman" w:cs="Times New Roman"/>
                <w:color w:val="FF0000"/>
              </w:rPr>
            </w:pPr>
          </w:p>
          <w:p w14:paraId="1B9EE81F" w14:textId="47E51084" w:rsidR="00F94146" w:rsidRPr="008A30A9" w:rsidRDefault="00F94146" w:rsidP="00002353">
            <w:pPr>
              <w:rPr>
                <w:rFonts w:ascii="Times New Roman" w:hAnsi="Times New Roman" w:cs="Times New Roman"/>
                <w:b/>
                <w:u w:val="single"/>
              </w:rPr>
            </w:pPr>
            <w:r w:rsidRPr="008A30A9">
              <w:rPr>
                <w:rFonts w:ascii="Times New Roman" w:hAnsi="Times New Roman" w:cs="Times New Roman"/>
                <w:b/>
                <w:bCs/>
              </w:rPr>
              <w:t>MADDE 5</w:t>
            </w:r>
            <w:r w:rsidRPr="008A30A9">
              <w:rPr>
                <w:rFonts w:ascii="Times New Roman" w:hAnsi="Times New Roman" w:cs="Times New Roman"/>
              </w:rPr>
              <w:t xml:space="preserve"> – </w:t>
            </w:r>
            <w:r w:rsidR="00D52EC8" w:rsidRPr="00D52EC8">
              <w:rPr>
                <w:rFonts w:ascii="Times New Roman" w:hAnsi="Times New Roman" w:cs="Times New Roman"/>
              </w:rPr>
              <w:t>Aynı Tebliğin Ek-</w:t>
            </w:r>
            <w:proofErr w:type="spellStart"/>
            <w:r w:rsidR="00D52EC8" w:rsidRPr="00D52EC8">
              <w:rPr>
                <w:rFonts w:ascii="Times New Roman" w:hAnsi="Times New Roman" w:cs="Times New Roman"/>
              </w:rPr>
              <w:t>III’ünden</w:t>
            </w:r>
            <w:proofErr w:type="spellEnd"/>
            <w:r w:rsidR="00D52EC8" w:rsidRPr="00D52EC8">
              <w:rPr>
                <w:rFonts w:ascii="Times New Roman" w:hAnsi="Times New Roman" w:cs="Times New Roman"/>
              </w:rPr>
              <w:t xml:space="preserve"> sonra gelmek üzere, bu Tebliğin Ek-1’inde yer alan EK-</w:t>
            </w:r>
            <w:proofErr w:type="spellStart"/>
            <w:r w:rsidR="00D52EC8" w:rsidRPr="00D52EC8">
              <w:rPr>
                <w:rFonts w:ascii="Times New Roman" w:hAnsi="Times New Roman" w:cs="Times New Roman"/>
              </w:rPr>
              <w:t>IIIa</w:t>
            </w:r>
            <w:proofErr w:type="spellEnd"/>
            <w:r w:rsidR="00D52EC8" w:rsidRPr="00D52EC8">
              <w:rPr>
                <w:rFonts w:ascii="Times New Roman" w:hAnsi="Times New Roman" w:cs="Times New Roman"/>
              </w:rPr>
              <w:t xml:space="preserve"> eklenmiştir.</w:t>
            </w:r>
          </w:p>
          <w:p w14:paraId="3A3BBEDC" w14:textId="77777777" w:rsidR="00F94146" w:rsidRPr="008A30A9" w:rsidRDefault="00F94146" w:rsidP="00002353">
            <w:pPr>
              <w:rPr>
                <w:rFonts w:ascii="Times New Roman" w:hAnsi="Times New Roman" w:cs="Times New Roman"/>
                <w:b/>
                <w:color w:val="FF0000"/>
                <w:u w:val="single"/>
              </w:rPr>
            </w:pPr>
          </w:p>
          <w:p w14:paraId="3AAC6406" w14:textId="52FB16D2" w:rsidR="00F94146" w:rsidRPr="00532F90" w:rsidRDefault="00F94146" w:rsidP="00532F90">
            <w:pPr>
              <w:rPr>
                <w:rFonts w:ascii="Times New Roman" w:hAnsi="Times New Roman" w:cs="Times New Roman"/>
                <w:color w:val="000000" w:themeColor="text1"/>
              </w:rPr>
            </w:pPr>
            <w:r w:rsidRPr="008A30A9">
              <w:rPr>
                <w:rFonts w:ascii="Times New Roman" w:hAnsi="Times New Roman" w:cs="Times New Roman"/>
                <w:b/>
                <w:color w:val="000000" w:themeColor="text1"/>
              </w:rPr>
              <w:t>MADDE 6</w:t>
            </w:r>
            <w:r w:rsidRPr="008A30A9">
              <w:rPr>
                <w:rFonts w:ascii="Times New Roman" w:hAnsi="Times New Roman" w:cs="Times New Roman"/>
                <w:color w:val="000000" w:themeColor="text1"/>
              </w:rPr>
              <w:t xml:space="preserve"> –</w:t>
            </w:r>
            <w:r w:rsidR="00D52EC8">
              <w:t xml:space="preserve"> </w:t>
            </w:r>
            <w:r w:rsidR="00D52EC8" w:rsidRPr="00D52EC8">
              <w:rPr>
                <w:rFonts w:ascii="Times New Roman" w:hAnsi="Times New Roman" w:cs="Times New Roman"/>
                <w:color w:val="000000" w:themeColor="text1"/>
              </w:rPr>
              <w:t xml:space="preserve">Aynı Tebliğin </w:t>
            </w:r>
            <w:r w:rsidR="007C547B" w:rsidRPr="00D52EC8">
              <w:rPr>
                <w:rFonts w:ascii="Times New Roman" w:hAnsi="Times New Roman" w:cs="Times New Roman"/>
                <w:color w:val="000000" w:themeColor="text1"/>
              </w:rPr>
              <w:t>E</w:t>
            </w:r>
            <w:r w:rsidR="007C547B">
              <w:rPr>
                <w:rFonts w:ascii="Times New Roman" w:hAnsi="Times New Roman" w:cs="Times New Roman"/>
                <w:color w:val="000000" w:themeColor="text1"/>
              </w:rPr>
              <w:t>k</w:t>
            </w:r>
            <w:r w:rsidR="00D52EC8" w:rsidRPr="00D52EC8">
              <w:rPr>
                <w:rFonts w:ascii="Times New Roman" w:hAnsi="Times New Roman" w:cs="Times New Roman"/>
                <w:color w:val="000000" w:themeColor="text1"/>
              </w:rPr>
              <w:t>-</w:t>
            </w:r>
            <w:proofErr w:type="spellStart"/>
            <w:r w:rsidR="00D52EC8" w:rsidRPr="00D52EC8">
              <w:rPr>
                <w:rFonts w:ascii="Times New Roman" w:hAnsi="Times New Roman" w:cs="Times New Roman"/>
                <w:color w:val="000000" w:themeColor="text1"/>
              </w:rPr>
              <w:t>IV’ü</w:t>
            </w:r>
            <w:proofErr w:type="spellEnd"/>
            <w:r w:rsidR="00532F90">
              <w:rPr>
                <w:rFonts w:ascii="Times New Roman" w:hAnsi="Times New Roman" w:cs="Times New Roman"/>
                <w:color w:val="000000" w:themeColor="text1"/>
              </w:rPr>
              <w:t xml:space="preserve"> bu Tebliğin Ek-2’sinde yer alan </w:t>
            </w:r>
            <w:r w:rsidR="00F63901">
              <w:rPr>
                <w:rFonts w:ascii="Times New Roman" w:hAnsi="Times New Roman" w:cs="Times New Roman"/>
                <w:color w:val="000000" w:themeColor="text1"/>
              </w:rPr>
              <w:t>şekilde değiştirilmiştir.</w:t>
            </w:r>
          </w:p>
          <w:p w14:paraId="6DA96AC0" w14:textId="77777777" w:rsidR="00D52EC8" w:rsidRDefault="00D52EC8" w:rsidP="00002353">
            <w:pPr>
              <w:rPr>
                <w:rFonts w:ascii="Times New Roman" w:hAnsi="Times New Roman" w:cs="Times New Roman"/>
              </w:rPr>
            </w:pPr>
          </w:p>
          <w:p w14:paraId="704C9F9A" w14:textId="3B4B0422" w:rsidR="00D52EC8" w:rsidRDefault="00D52EC8" w:rsidP="00002353">
            <w:pPr>
              <w:rPr>
                <w:rFonts w:ascii="Times New Roman" w:hAnsi="Times New Roman" w:cs="Times New Roman"/>
              </w:rPr>
            </w:pPr>
          </w:p>
          <w:p w14:paraId="47EA7314" w14:textId="1080272C" w:rsidR="00CC1BF5" w:rsidRDefault="00CC1BF5" w:rsidP="008A30A9">
            <w:pPr>
              <w:jc w:val="center"/>
              <w:rPr>
                <w:rFonts w:ascii="Times New Roman" w:hAnsi="Times New Roman" w:cs="Times New Roman"/>
              </w:rPr>
            </w:pPr>
            <w:r>
              <w:rPr>
                <w:rFonts w:ascii="Times New Roman" w:hAnsi="Times New Roman" w:cs="Times New Roman"/>
              </w:rPr>
              <w:t>Ek-1</w:t>
            </w:r>
          </w:p>
          <w:p w14:paraId="4693D593" w14:textId="77777777" w:rsidR="00D52EC8" w:rsidRPr="00A90698" w:rsidRDefault="00D52EC8" w:rsidP="00D52EC8">
            <w:pPr>
              <w:pStyle w:val="Gvdemetni0"/>
              <w:spacing w:after="0"/>
              <w:ind w:left="927"/>
              <w:jc w:val="right"/>
              <w:rPr>
                <w:rFonts w:ascii="Times New Roman" w:hAnsi="Times New Roman" w:cs="Times New Roman"/>
                <w:b/>
                <w:sz w:val="20"/>
                <w:szCs w:val="20"/>
                <w:u w:val="single"/>
              </w:rPr>
            </w:pPr>
            <w:r w:rsidRPr="00A90698">
              <w:rPr>
                <w:rFonts w:ascii="Times New Roman" w:hAnsi="Times New Roman" w:cs="Times New Roman"/>
                <w:b/>
                <w:bCs/>
                <w:sz w:val="20"/>
                <w:szCs w:val="20"/>
                <w:u w:val="single"/>
              </w:rPr>
              <w:t xml:space="preserve">“Ek- </w:t>
            </w:r>
            <w:proofErr w:type="spellStart"/>
            <w:r w:rsidRPr="00A90698">
              <w:rPr>
                <w:rFonts w:ascii="Times New Roman" w:hAnsi="Times New Roman" w:cs="Times New Roman"/>
                <w:b/>
                <w:bCs/>
                <w:sz w:val="20"/>
                <w:szCs w:val="20"/>
                <w:u w:val="single"/>
              </w:rPr>
              <w:t>IIIa</w:t>
            </w:r>
            <w:proofErr w:type="spellEnd"/>
            <w:r w:rsidRPr="00A90698">
              <w:rPr>
                <w:rFonts w:ascii="Times New Roman" w:hAnsi="Times New Roman" w:cs="Times New Roman"/>
                <w:b/>
                <w:bCs/>
                <w:sz w:val="20"/>
                <w:szCs w:val="20"/>
                <w:u w:val="single"/>
              </w:rPr>
              <w:t xml:space="preserve"> </w:t>
            </w:r>
          </w:p>
          <w:p w14:paraId="30754158" w14:textId="77777777" w:rsidR="00D52EC8" w:rsidRPr="00A90698" w:rsidRDefault="00D52EC8" w:rsidP="00D52EC8">
            <w:pPr>
              <w:pStyle w:val="Gvdemetni0"/>
              <w:spacing w:after="0"/>
              <w:jc w:val="center"/>
              <w:rPr>
                <w:rFonts w:ascii="Times New Roman" w:hAnsi="Times New Roman" w:cs="Times New Roman"/>
                <w:b/>
                <w:bCs/>
                <w:sz w:val="20"/>
                <w:szCs w:val="20"/>
                <w:u w:val="single"/>
              </w:rPr>
            </w:pPr>
            <w:r w:rsidRPr="00A90698">
              <w:rPr>
                <w:rFonts w:ascii="Times New Roman" w:hAnsi="Times New Roman" w:cs="Times New Roman"/>
                <w:b/>
                <w:bCs/>
                <w:sz w:val="20"/>
                <w:szCs w:val="20"/>
                <w:u w:val="single"/>
              </w:rPr>
              <w:t>GEÇİCİ METOTLAR</w:t>
            </w:r>
          </w:p>
          <w:p w14:paraId="1D5897C0" w14:textId="77777777" w:rsidR="00D52EC8" w:rsidRPr="00A90698" w:rsidRDefault="00D52EC8" w:rsidP="00D52EC8">
            <w:pPr>
              <w:pStyle w:val="ResimYazs"/>
              <w:keepNext/>
              <w:jc w:val="center"/>
              <w:rPr>
                <w:b/>
                <w:i w:val="0"/>
                <w:color w:val="auto"/>
                <w:sz w:val="20"/>
                <w:szCs w:val="20"/>
                <w:u w:val="single"/>
              </w:rPr>
            </w:pPr>
            <w:r w:rsidRPr="00A90698">
              <w:rPr>
                <w:b/>
                <w:i w:val="0"/>
                <w:color w:val="auto"/>
                <w:sz w:val="20"/>
                <w:szCs w:val="20"/>
                <w:u w:val="single"/>
              </w:rPr>
              <w:t xml:space="preserve">Tablo </w:t>
            </w:r>
            <w:proofErr w:type="gramStart"/>
            <w:r w:rsidRPr="00A90698">
              <w:rPr>
                <w:b/>
                <w:i w:val="0"/>
                <w:color w:val="auto"/>
                <w:sz w:val="20"/>
                <w:szCs w:val="20"/>
                <w:u w:val="single"/>
              </w:rPr>
              <w:t>1a</w:t>
            </w:r>
            <w:proofErr w:type="gramEnd"/>
          </w:p>
          <w:p w14:paraId="6AC25EDD" w14:textId="77777777" w:rsidR="00D52EC8" w:rsidRPr="00A90698" w:rsidRDefault="00D52EC8" w:rsidP="00D52EC8">
            <w:pPr>
              <w:pStyle w:val="ResimYazs"/>
              <w:keepNext/>
              <w:jc w:val="center"/>
              <w:rPr>
                <w:b/>
                <w:i w:val="0"/>
                <w:color w:val="auto"/>
                <w:sz w:val="20"/>
                <w:szCs w:val="20"/>
                <w:u w:val="single"/>
              </w:rPr>
            </w:pPr>
            <w:r w:rsidRPr="00A90698">
              <w:rPr>
                <w:b/>
                <w:i w:val="0"/>
                <w:color w:val="auto"/>
                <w:sz w:val="20"/>
                <w:szCs w:val="20"/>
                <w:u w:val="single"/>
              </w:rPr>
              <w:t>Sunucular için referanslar ve niteleyici notlar</w:t>
            </w:r>
          </w:p>
          <w:tbl>
            <w:tblPr>
              <w:tblStyle w:val="TabloKlavuzu"/>
              <w:tblW w:w="5000" w:type="pct"/>
              <w:tblLayout w:type="fixed"/>
              <w:tblLook w:val="04A0" w:firstRow="1" w:lastRow="0" w:firstColumn="1" w:lastColumn="0" w:noHBand="0" w:noVBand="1"/>
            </w:tblPr>
            <w:tblGrid>
              <w:gridCol w:w="845"/>
              <w:gridCol w:w="493"/>
              <w:gridCol w:w="1435"/>
              <w:gridCol w:w="639"/>
              <w:gridCol w:w="893"/>
            </w:tblGrid>
            <w:tr w:rsidR="00D52EC8" w:rsidRPr="00A90698" w14:paraId="0B43A36B" w14:textId="77777777" w:rsidTr="00D52EC8">
              <w:tc>
                <w:tcPr>
                  <w:tcW w:w="981" w:type="pct"/>
                  <w:vAlign w:val="center"/>
                </w:tcPr>
                <w:p w14:paraId="3DBE3461" w14:textId="77777777" w:rsidR="00D52EC8" w:rsidRPr="00A90698" w:rsidRDefault="00D52EC8" w:rsidP="00D52EC8">
                  <w:pPr>
                    <w:pStyle w:val="Gvdemetni0"/>
                    <w:spacing w:after="0"/>
                    <w:jc w:val="center"/>
                    <w:rPr>
                      <w:rFonts w:ascii="Times New Roman" w:hAnsi="Times New Roman" w:cs="Times New Roman"/>
                      <w:b/>
                      <w:sz w:val="20"/>
                      <w:szCs w:val="20"/>
                      <w:u w:val="single"/>
                    </w:rPr>
                  </w:pPr>
                  <w:r w:rsidRPr="00A90698">
                    <w:rPr>
                      <w:rFonts w:ascii="Times New Roman" w:hAnsi="Times New Roman" w:cs="Times New Roman"/>
                      <w:b/>
                      <w:sz w:val="20"/>
                      <w:szCs w:val="20"/>
                      <w:u w:val="single"/>
                    </w:rPr>
                    <w:t>Parametre</w:t>
                  </w:r>
                </w:p>
              </w:tc>
              <w:tc>
                <w:tcPr>
                  <w:tcW w:w="573" w:type="pct"/>
                  <w:vAlign w:val="center"/>
                </w:tcPr>
                <w:p w14:paraId="44EC3CE3" w14:textId="77777777" w:rsidR="00D52EC8" w:rsidRPr="00A90698" w:rsidRDefault="00D52EC8" w:rsidP="00D52EC8">
                  <w:pPr>
                    <w:pStyle w:val="Gvdemetni0"/>
                    <w:spacing w:after="0"/>
                    <w:jc w:val="center"/>
                    <w:rPr>
                      <w:rFonts w:ascii="Times New Roman" w:hAnsi="Times New Roman" w:cs="Times New Roman"/>
                      <w:b/>
                      <w:sz w:val="20"/>
                      <w:szCs w:val="20"/>
                      <w:u w:val="single"/>
                    </w:rPr>
                  </w:pPr>
                  <w:r w:rsidRPr="00A90698">
                    <w:rPr>
                      <w:rFonts w:ascii="Times New Roman" w:hAnsi="Times New Roman" w:cs="Times New Roman"/>
                      <w:b/>
                      <w:sz w:val="20"/>
                      <w:szCs w:val="20"/>
                      <w:u w:val="single"/>
                    </w:rPr>
                    <w:t>Kaynak</w:t>
                  </w:r>
                </w:p>
              </w:tc>
              <w:tc>
                <w:tcPr>
                  <w:tcW w:w="1667" w:type="pct"/>
                  <w:vAlign w:val="center"/>
                </w:tcPr>
                <w:p w14:paraId="35E8AD87" w14:textId="77777777" w:rsidR="00D52EC8" w:rsidRPr="00A90698" w:rsidRDefault="00D52EC8" w:rsidP="00D52EC8">
                  <w:pPr>
                    <w:pStyle w:val="Gvdemetni0"/>
                    <w:spacing w:after="0"/>
                    <w:jc w:val="center"/>
                    <w:rPr>
                      <w:rFonts w:ascii="Times New Roman" w:hAnsi="Times New Roman" w:cs="Times New Roman"/>
                      <w:b/>
                      <w:sz w:val="20"/>
                      <w:szCs w:val="20"/>
                      <w:u w:val="single"/>
                    </w:rPr>
                  </w:pPr>
                  <w:r w:rsidRPr="00A90698">
                    <w:rPr>
                      <w:rFonts w:ascii="Times New Roman" w:hAnsi="Times New Roman" w:cs="Times New Roman"/>
                      <w:b/>
                      <w:sz w:val="20"/>
                      <w:szCs w:val="20"/>
                      <w:u w:val="single"/>
                    </w:rPr>
                    <w:t>Referans Test Metodu / Başlık</w:t>
                  </w:r>
                </w:p>
              </w:tc>
              <w:tc>
                <w:tcPr>
                  <w:tcW w:w="1779" w:type="pct"/>
                  <w:gridSpan w:val="2"/>
                  <w:vAlign w:val="center"/>
                </w:tcPr>
                <w:p w14:paraId="3A55DE73" w14:textId="77777777" w:rsidR="00D52EC8" w:rsidRPr="00A90698" w:rsidRDefault="00D52EC8" w:rsidP="00D52EC8">
                  <w:pPr>
                    <w:pStyle w:val="Gvdemetni0"/>
                    <w:spacing w:after="0"/>
                    <w:jc w:val="center"/>
                    <w:rPr>
                      <w:rFonts w:ascii="Times New Roman" w:hAnsi="Times New Roman" w:cs="Times New Roman"/>
                      <w:b/>
                      <w:sz w:val="20"/>
                      <w:szCs w:val="20"/>
                      <w:u w:val="single"/>
                    </w:rPr>
                  </w:pPr>
                  <w:r w:rsidRPr="00A90698">
                    <w:rPr>
                      <w:rFonts w:ascii="Times New Roman" w:hAnsi="Times New Roman" w:cs="Times New Roman"/>
                      <w:b/>
                      <w:sz w:val="20"/>
                      <w:szCs w:val="20"/>
                      <w:u w:val="single"/>
                    </w:rPr>
                    <w:t>Notlar</w:t>
                  </w:r>
                </w:p>
              </w:tc>
            </w:tr>
            <w:tr w:rsidR="00D52EC8" w:rsidRPr="00A90698" w14:paraId="5CA81940" w14:textId="77777777" w:rsidTr="00D52EC8">
              <w:trPr>
                <w:trHeight w:val="2811"/>
              </w:trPr>
              <w:tc>
                <w:tcPr>
                  <w:tcW w:w="981" w:type="pct"/>
                  <w:vAlign w:val="center"/>
                </w:tcPr>
                <w:p w14:paraId="3CE0F7D8"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Etkin konumdaki sunucu verimliliği ve sunucu performansı</w:t>
                  </w:r>
                </w:p>
              </w:tc>
              <w:tc>
                <w:tcPr>
                  <w:tcW w:w="573" w:type="pct"/>
                  <w:vAlign w:val="center"/>
                </w:tcPr>
                <w:p w14:paraId="1D90E73F"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ETSI</w:t>
                  </w:r>
                </w:p>
              </w:tc>
              <w:tc>
                <w:tcPr>
                  <w:tcW w:w="1667" w:type="pct"/>
                  <w:vAlign w:val="center"/>
                </w:tcPr>
                <w:p w14:paraId="5B042431"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ETSI EN 303470:2019</w:t>
                  </w:r>
                </w:p>
              </w:tc>
              <w:tc>
                <w:tcPr>
                  <w:tcW w:w="742" w:type="pct"/>
                  <w:vAlign w:val="center"/>
                </w:tcPr>
                <w:p w14:paraId="48ED5081" w14:textId="77777777" w:rsidR="00D52EC8" w:rsidRPr="00A90698" w:rsidRDefault="00D52EC8" w:rsidP="00D52EC8">
                  <w:pPr>
                    <w:pStyle w:val="Gvdemetni0"/>
                    <w:spacing w:after="0"/>
                    <w:jc w:val="both"/>
                    <w:rPr>
                      <w:rFonts w:ascii="Times New Roman" w:hAnsi="Times New Roman" w:cs="Times New Roman"/>
                      <w:b/>
                      <w:sz w:val="20"/>
                      <w:szCs w:val="20"/>
                      <w:u w:val="single"/>
                    </w:rPr>
                  </w:pPr>
                </w:p>
              </w:tc>
              <w:tc>
                <w:tcPr>
                  <w:tcW w:w="1037" w:type="pct"/>
                  <w:vMerge w:val="restart"/>
                  <w:vAlign w:val="center"/>
                </w:tcPr>
                <w:p w14:paraId="5336437F"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EN 303470:2019 standardı ile test işlemine ilişkin genel notlar:</w:t>
                  </w:r>
                </w:p>
                <w:p w14:paraId="63C848C9" w14:textId="77777777" w:rsidR="00D52EC8" w:rsidRPr="00A90698" w:rsidRDefault="00D52EC8" w:rsidP="00D52EC8">
                  <w:pPr>
                    <w:pStyle w:val="Gvdemetni0"/>
                    <w:numPr>
                      <w:ilvl w:val="0"/>
                      <w:numId w:val="2"/>
                    </w:numPr>
                    <w:spacing w:after="0"/>
                    <w:ind w:left="0" w:firstLine="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Test, uygun bir AB voltajı ve frekansında (</w:t>
                  </w:r>
                  <w:proofErr w:type="spellStart"/>
                  <w:r w:rsidRPr="00A90698">
                    <w:rPr>
                      <w:rFonts w:ascii="Times New Roman" w:hAnsi="Times New Roman" w:cs="Times New Roman"/>
                      <w:b/>
                      <w:sz w:val="20"/>
                      <w:szCs w:val="20"/>
                      <w:u w:val="single"/>
                    </w:rPr>
                    <w:t>örn</w:t>
                  </w:r>
                  <w:proofErr w:type="spellEnd"/>
                  <w:r w:rsidRPr="00A90698">
                    <w:rPr>
                      <w:rFonts w:ascii="Times New Roman" w:hAnsi="Times New Roman" w:cs="Times New Roman"/>
                      <w:b/>
                      <w:sz w:val="20"/>
                      <w:szCs w:val="20"/>
                      <w:u w:val="single"/>
                    </w:rPr>
                    <w:t>. 230v, 50Hz) yapılmalıdır.</w:t>
                  </w:r>
                </w:p>
                <w:p w14:paraId="159D2535" w14:textId="77777777" w:rsidR="00D52EC8" w:rsidRPr="00A90698" w:rsidRDefault="00D52EC8" w:rsidP="00D52EC8">
                  <w:pPr>
                    <w:pStyle w:val="Gvdemetni0"/>
                    <w:numPr>
                      <w:ilvl w:val="0"/>
                      <w:numId w:val="2"/>
                    </w:numPr>
                    <w:spacing w:after="0"/>
                    <w:ind w:left="0" w:firstLine="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İ</w:t>
                  </w:r>
                  <w:r w:rsidRPr="00A90698">
                    <w:rPr>
                      <w:rFonts w:ascii="Times New Roman" w:hAnsi="Times New Roman" w:cs="Times New Roman"/>
                      <w:b/>
                      <w:sz w:val="20"/>
                      <w:szCs w:val="20"/>
                      <w:u w:val="single"/>
                    </w:rPr>
                    <w:lastRenderedPageBreak/>
                    <w:t xml:space="preserve">şlevsiz durum gücü, etkin konum verimliliği ve etkin konum sunucu performansı ölçülürken bu Tebliğin Ek III ünün 2. maddesindeki genişletme APA kartlarına ilişkin hükme benzer şekilde, test edilen birim diğer eklenti kartı türleri çıkarılarak (Herhangi bir tolerans verilmediği ve SERT testinde uygulanmadığı için) test </w:t>
                  </w:r>
                  <w:proofErr w:type="gramStart"/>
                  <w:r w:rsidRPr="00A90698">
                    <w:rPr>
                      <w:rFonts w:ascii="Times New Roman" w:hAnsi="Times New Roman" w:cs="Times New Roman"/>
                      <w:b/>
                      <w:sz w:val="20"/>
                      <w:szCs w:val="20"/>
                      <w:u w:val="single"/>
                    </w:rPr>
                    <w:t>edilir(</w:t>
                  </w:r>
                  <w:proofErr w:type="gramEnd"/>
                  <w:r w:rsidRPr="00A90698">
                    <w:rPr>
                      <w:rFonts w:ascii="Times New Roman" w:hAnsi="Times New Roman" w:cs="Times New Roman"/>
                      <w:b/>
                      <w:sz w:val="20"/>
                      <w:szCs w:val="20"/>
                      <w:u w:val="single"/>
                      <w:vertAlign w:val="superscript"/>
                    </w:rPr>
                    <w:t>1</w:t>
                  </w:r>
                  <w:r w:rsidRPr="00A90698">
                    <w:rPr>
                      <w:rFonts w:ascii="Times New Roman" w:hAnsi="Times New Roman" w:cs="Times New Roman"/>
                      <w:b/>
                      <w:sz w:val="20"/>
                      <w:szCs w:val="20"/>
                      <w:u w:val="single"/>
                    </w:rPr>
                    <w:t>).</w:t>
                  </w:r>
                </w:p>
                <w:p w14:paraId="48A92218" w14:textId="77777777" w:rsidR="00D52EC8" w:rsidRPr="00A90698" w:rsidRDefault="00D52EC8" w:rsidP="00D52EC8">
                  <w:pPr>
                    <w:pStyle w:val="Gvdemetni0"/>
                    <w:numPr>
                      <w:ilvl w:val="0"/>
                      <w:numId w:val="2"/>
                    </w:numPr>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Sunucular</w:t>
                  </w:r>
                </w:p>
                <w:p w14:paraId="1B8DC345"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 xml:space="preserve">i. bir sunucu ürün ailesinin </w:t>
                  </w:r>
                  <w:r w:rsidRPr="00A90698">
                    <w:rPr>
                      <w:rFonts w:ascii="Times New Roman" w:hAnsi="Times New Roman" w:cs="Times New Roman"/>
                      <w:b/>
                      <w:sz w:val="20"/>
                      <w:szCs w:val="20"/>
                      <w:u w:val="single"/>
                    </w:rPr>
                    <w:lastRenderedPageBreak/>
                    <w:t>parçası olarak bildirilmediyse,</w:t>
                  </w:r>
                </w:p>
                <w:p w14:paraId="2888EBA9"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ii. aynı çift sıralı bellek modülleri (</w:t>
                  </w:r>
                  <w:proofErr w:type="spellStart"/>
                  <w:r w:rsidRPr="00A90698">
                    <w:rPr>
                      <w:rFonts w:ascii="Times New Roman" w:hAnsi="Times New Roman" w:cs="Times New Roman"/>
                      <w:b/>
                      <w:sz w:val="20"/>
                      <w:szCs w:val="20"/>
                      <w:u w:val="single"/>
                    </w:rPr>
                    <w:t>DIMM'ler</w:t>
                  </w:r>
                  <w:proofErr w:type="spellEnd"/>
                  <w:r w:rsidRPr="00A90698">
                    <w:rPr>
                      <w:rFonts w:ascii="Times New Roman" w:hAnsi="Times New Roman" w:cs="Times New Roman"/>
                      <w:b/>
                      <w:sz w:val="20"/>
                      <w:szCs w:val="20"/>
                      <w:u w:val="single"/>
                    </w:rPr>
                    <w:t>) ile yerleştirilmiş tüm bellek kanalları olmadan bir yapılandırmada yer aldıysa,</w:t>
                  </w:r>
                </w:p>
                <w:p w14:paraId="27C571B6" w14:textId="77777777" w:rsidR="00D52EC8" w:rsidRPr="00A90698" w:rsidRDefault="00D52EC8" w:rsidP="00D52EC8">
                  <w:pPr>
                    <w:pStyle w:val="Gvdemetni0"/>
                    <w:spacing w:after="0"/>
                    <w:jc w:val="both"/>
                    <w:rPr>
                      <w:rFonts w:ascii="Times New Roman" w:hAnsi="Times New Roman" w:cs="Times New Roman"/>
                      <w:b/>
                      <w:sz w:val="20"/>
                      <w:szCs w:val="20"/>
                      <w:u w:val="single"/>
                    </w:rPr>
                  </w:pPr>
                  <w:proofErr w:type="gramStart"/>
                  <w:r w:rsidRPr="00A90698">
                    <w:rPr>
                      <w:rFonts w:ascii="Times New Roman" w:hAnsi="Times New Roman" w:cs="Times New Roman"/>
                      <w:b/>
                      <w:sz w:val="20"/>
                      <w:szCs w:val="20"/>
                      <w:u w:val="single"/>
                    </w:rPr>
                    <w:t>aynı</w:t>
                  </w:r>
                  <w:proofErr w:type="gramEnd"/>
                  <w:r w:rsidRPr="00A90698">
                    <w:rPr>
                      <w:rFonts w:ascii="Times New Roman" w:hAnsi="Times New Roman" w:cs="Times New Roman"/>
                      <w:b/>
                      <w:sz w:val="20"/>
                      <w:szCs w:val="20"/>
                      <w:u w:val="single"/>
                    </w:rPr>
                    <w:t xml:space="preserve"> </w:t>
                  </w:r>
                  <w:proofErr w:type="spellStart"/>
                  <w:r w:rsidRPr="00A90698">
                    <w:rPr>
                      <w:rFonts w:ascii="Times New Roman" w:hAnsi="Times New Roman" w:cs="Times New Roman"/>
                      <w:b/>
                      <w:sz w:val="20"/>
                      <w:szCs w:val="20"/>
                      <w:u w:val="single"/>
                    </w:rPr>
                    <w:t>DIMM'lerle</w:t>
                  </w:r>
                  <w:proofErr w:type="spellEnd"/>
                  <w:r w:rsidRPr="00A90698">
                    <w:rPr>
                      <w:rFonts w:ascii="Times New Roman" w:hAnsi="Times New Roman" w:cs="Times New Roman"/>
                      <w:b/>
                      <w:sz w:val="20"/>
                      <w:szCs w:val="20"/>
                      <w:u w:val="single"/>
                    </w:rPr>
                    <w:t xml:space="preserve"> yerleştirilmiş tüm bellek kanallarına sahip bir yapılandırma test edilmelidir (</w:t>
                  </w:r>
                  <w:r w:rsidRPr="00A90698">
                    <w:rPr>
                      <w:rFonts w:ascii="Times New Roman" w:hAnsi="Times New Roman" w:cs="Times New Roman"/>
                      <w:b/>
                      <w:sz w:val="20"/>
                      <w:szCs w:val="20"/>
                      <w:u w:val="single"/>
                      <w:vertAlign w:val="superscript"/>
                    </w:rPr>
                    <w:t>2</w:t>
                  </w:r>
                  <w:r w:rsidRPr="00A90698">
                    <w:rPr>
                      <w:rFonts w:ascii="Times New Roman" w:hAnsi="Times New Roman" w:cs="Times New Roman"/>
                      <w:b/>
                      <w:sz w:val="20"/>
                      <w:szCs w:val="20"/>
                      <w:u w:val="single"/>
                    </w:rPr>
                    <w:t>)</w:t>
                  </w:r>
                </w:p>
              </w:tc>
            </w:tr>
            <w:tr w:rsidR="00D52EC8" w:rsidRPr="00A90698" w14:paraId="01BE138E" w14:textId="77777777" w:rsidTr="00D52EC8">
              <w:tc>
                <w:tcPr>
                  <w:tcW w:w="981" w:type="pct"/>
                  <w:vAlign w:val="center"/>
                </w:tcPr>
                <w:p w14:paraId="37DD86B0"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İşlevsiz durum gücü (</w:t>
                  </w:r>
                  <w:proofErr w:type="spellStart"/>
                  <w:r w:rsidRPr="00A90698">
                    <w:rPr>
                      <w:rFonts w:ascii="Times New Roman" w:hAnsi="Times New Roman" w:cs="Times New Roman"/>
                      <w:b/>
                      <w:sz w:val="20"/>
                      <w:szCs w:val="20"/>
                      <w:u w:val="single"/>
                    </w:rPr>
                    <w:t>Pidle</w:t>
                  </w:r>
                  <w:proofErr w:type="spellEnd"/>
                  <w:r w:rsidRPr="00A90698">
                    <w:rPr>
                      <w:rFonts w:ascii="Times New Roman" w:hAnsi="Times New Roman" w:cs="Times New Roman"/>
                      <w:b/>
                      <w:sz w:val="20"/>
                      <w:szCs w:val="20"/>
                      <w:u w:val="single"/>
                    </w:rPr>
                    <w:t>)</w:t>
                  </w:r>
                </w:p>
              </w:tc>
              <w:tc>
                <w:tcPr>
                  <w:tcW w:w="573" w:type="pct"/>
                  <w:vAlign w:val="center"/>
                </w:tcPr>
                <w:p w14:paraId="4884F0FE"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ETSI</w:t>
                  </w:r>
                </w:p>
              </w:tc>
              <w:tc>
                <w:tcPr>
                  <w:tcW w:w="1667" w:type="pct"/>
                  <w:vAlign w:val="center"/>
                </w:tcPr>
                <w:p w14:paraId="2F1E1F0F"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ETSI EN 303470:2019</w:t>
                  </w:r>
                </w:p>
              </w:tc>
              <w:tc>
                <w:tcPr>
                  <w:tcW w:w="742" w:type="pct"/>
                  <w:vAlign w:val="center"/>
                </w:tcPr>
                <w:p w14:paraId="319A53AC" w14:textId="77777777" w:rsidR="00D52EC8" w:rsidRPr="00A90698" w:rsidRDefault="00D52EC8" w:rsidP="00D52EC8">
                  <w:pPr>
                    <w:pStyle w:val="Gvdemetni0"/>
                    <w:spacing w:after="0"/>
                    <w:jc w:val="both"/>
                    <w:rPr>
                      <w:rFonts w:ascii="Times New Roman" w:hAnsi="Times New Roman" w:cs="Times New Roman"/>
                      <w:b/>
                      <w:sz w:val="20"/>
                      <w:szCs w:val="20"/>
                      <w:u w:val="single"/>
                    </w:rPr>
                  </w:pPr>
                </w:p>
              </w:tc>
              <w:tc>
                <w:tcPr>
                  <w:tcW w:w="1037" w:type="pct"/>
                  <w:vMerge/>
                  <w:vAlign w:val="center"/>
                </w:tcPr>
                <w:p w14:paraId="0888C36E" w14:textId="77777777" w:rsidR="00D52EC8" w:rsidRPr="00A90698" w:rsidRDefault="00D52EC8" w:rsidP="00D52EC8">
                  <w:pPr>
                    <w:pStyle w:val="Gvdemetni0"/>
                    <w:spacing w:after="0"/>
                    <w:jc w:val="both"/>
                    <w:rPr>
                      <w:rFonts w:ascii="Times New Roman" w:hAnsi="Times New Roman" w:cs="Times New Roman"/>
                      <w:b/>
                      <w:sz w:val="20"/>
                      <w:szCs w:val="20"/>
                      <w:u w:val="single"/>
                    </w:rPr>
                  </w:pPr>
                </w:p>
              </w:tc>
            </w:tr>
            <w:tr w:rsidR="00D52EC8" w:rsidRPr="00A90698" w14:paraId="6FCC82AA" w14:textId="77777777" w:rsidTr="00D52EC8">
              <w:tc>
                <w:tcPr>
                  <w:tcW w:w="981" w:type="pct"/>
                  <w:vAlign w:val="center"/>
                </w:tcPr>
                <w:p w14:paraId="7400D1B9"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Maksimum güç</w:t>
                  </w:r>
                </w:p>
              </w:tc>
              <w:tc>
                <w:tcPr>
                  <w:tcW w:w="573" w:type="pct"/>
                  <w:vAlign w:val="center"/>
                </w:tcPr>
                <w:p w14:paraId="5E7AADAE"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ETSI</w:t>
                  </w:r>
                </w:p>
              </w:tc>
              <w:tc>
                <w:tcPr>
                  <w:tcW w:w="1667" w:type="pct"/>
                  <w:vAlign w:val="center"/>
                </w:tcPr>
                <w:p w14:paraId="2365C65A"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ETSI EN 303470:2019</w:t>
                  </w:r>
                </w:p>
              </w:tc>
              <w:tc>
                <w:tcPr>
                  <w:tcW w:w="742" w:type="pct"/>
                  <w:vAlign w:val="center"/>
                </w:tcPr>
                <w:p w14:paraId="127731E1"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 xml:space="preserve">Maksimum güç herhangi bir tekil </w:t>
                  </w:r>
                  <w:r w:rsidRPr="00A90698">
                    <w:rPr>
                      <w:rFonts w:ascii="Times New Roman" w:hAnsi="Times New Roman" w:cs="Times New Roman"/>
                      <w:b/>
                      <w:sz w:val="20"/>
                      <w:szCs w:val="20"/>
                      <w:u w:val="single"/>
                    </w:rPr>
                    <w:lastRenderedPageBreak/>
                    <w:t>iş yükü ve yük seviyesi altında test edilen SERT tarafından rapor edilen en yüksek ölçülen güç tüketimidir.</w:t>
                  </w:r>
                </w:p>
              </w:tc>
              <w:tc>
                <w:tcPr>
                  <w:tcW w:w="1037" w:type="pct"/>
                  <w:vMerge/>
                  <w:vAlign w:val="center"/>
                </w:tcPr>
                <w:p w14:paraId="01C14DA6" w14:textId="77777777" w:rsidR="00D52EC8" w:rsidRPr="00A90698" w:rsidRDefault="00D52EC8" w:rsidP="00D52EC8">
                  <w:pPr>
                    <w:pStyle w:val="Gvdemetni0"/>
                    <w:spacing w:after="0"/>
                    <w:jc w:val="both"/>
                    <w:rPr>
                      <w:rFonts w:ascii="Times New Roman" w:hAnsi="Times New Roman" w:cs="Times New Roman"/>
                      <w:b/>
                      <w:sz w:val="20"/>
                      <w:szCs w:val="20"/>
                      <w:u w:val="single"/>
                    </w:rPr>
                  </w:pPr>
                </w:p>
              </w:tc>
            </w:tr>
            <w:tr w:rsidR="00D52EC8" w:rsidRPr="00A90698" w14:paraId="53A4100B" w14:textId="77777777" w:rsidTr="00D52EC8">
              <w:tc>
                <w:tcPr>
                  <w:tcW w:w="981" w:type="pct"/>
                  <w:vAlign w:val="center"/>
                </w:tcPr>
                <w:p w14:paraId="13BD97CB"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lastRenderedPageBreak/>
                    <w:t>Beyan edilen çalışma koşulu sınıfının daha yüksek sınır sıcaklığındaki işlevsiz durum gücü</w:t>
                  </w:r>
                </w:p>
              </w:tc>
              <w:tc>
                <w:tcPr>
                  <w:tcW w:w="573" w:type="pct"/>
                  <w:vAlign w:val="center"/>
                </w:tcPr>
                <w:p w14:paraId="6B74FDAB" w14:textId="77777777" w:rsidR="00D52EC8" w:rsidRPr="00A90698" w:rsidRDefault="00D52EC8" w:rsidP="00D52EC8">
                  <w:pPr>
                    <w:pStyle w:val="Gvdemetni0"/>
                    <w:spacing w:after="0"/>
                    <w:jc w:val="both"/>
                    <w:rPr>
                      <w:rFonts w:ascii="Times New Roman" w:hAnsi="Times New Roman" w:cs="Times New Roman"/>
                      <w:b/>
                      <w:sz w:val="20"/>
                      <w:szCs w:val="20"/>
                      <w:u w:val="single"/>
                    </w:rPr>
                  </w:pPr>
                  <w:proofErr w:type="spellStart"/>
                  <w:r w:rsidRPr="00A90698">
                    <w:rPr>
                      <w:rFonts w:ascii="Times New Roman" w:hAnsi="Times New Roman" w:cs="Times New Roman"/>
                      <w:b/>
                      <w:sz w:val="20"/>
                      <w:szCs w:val="20"/>
                      <w:u w:val="single"/>
                    </w:rPr>
                    <w:t>The</w:t>
                  </w:r>
                  <w:proofErr w:type="spellEnd"/>
                  <w:r w:rsidRPr="00A90698">
                    <w:rPr>
                      <w:rFonts w:ascii="Times New Roman" w:hAnsi="Times New Roman" w:cs="Times New Roman"/>
                      <w:b/>
                      <w:sz w:val="20"/>
                      <w:szCs w:val="20"/>
                      <w:u w:val="single"/>
                    </w:rPr>
                    <w:t xml:space="preserve"> </w:t>
                  </w:r>
                  <w:proofErr w:type="spellStart"/>
                  <w:r w:rsidRPr="00A90698">
                    <w:rPr>
                      <w:rFonts w:ascii="Times New Roman" w:hAnsi="Times New Roman" w:cs="Times New Roman"/>
                      <w:b/>
                      <w:sz w:val="20"/>
                      <w:szCs w:val="20"/>
                      <w:u w:val="single"/>
                    </w:rPr>
                    <w:t>Green</w:t>
                  </w:r>
                  <w:proofErr w:type="spellEnd"/>
                  <w:r w:rsidRPr="00A90698">
                    <w:rPr>
                      <w:rFonts w:ascii="Times New Roman" w:hAnsi="Times New Roman" w:cs="Times New Roman"/>
                      <w:b/>
                      <w:sz w:val="20"/>
                      <w:szCs w:val="20"/>
                      <w:u w:val="single"/>
                    </w:rPr>
                    <w:t xml:space="preserve"> </w:t>
                  </w:r>
                  <w:proofErr w:type="spellStart"/>
                  <w:r w:rsidRPr="00A90698">
                    <w:rPr>
                      <w:rFonts w:ascii="Times New Roman" w:hAnsi="Times New Roman" w:cs="Times New Roman"/>
                      <w:b/>
                      <w:sz w:val="20"/>
                      <w:szCs w:val="20"/>
                      <w:u w:val="single"/>
                    </w:rPr>
                    <w:t>Grid</w:t>
                  </w:r>
                  <w:proofErr w:type="spellEnd"/>
                </w:p>
              </w:tc>
              <w:tc>
                <w:tcPr>
                  <w:tcW w:w="1667" w:type="pct"/>
                  <w:vAlign w:val="center"/>
                </w:tcPr>
                <w:p w14:paraId="0234686F"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Bu Tebliğin sert koleksiyonu için basitleştirilmiş yüksek sıcaklık işlevsiz durum gücü raporlaması</w:t>
                  </w:r>
                </w:p>
              </w:tc>
              <w:tc>
                <w:tcPr>
                  <w:tcW w:w="1779" w:type="pct"/>
                  <w:gridSpan w:val="2"/>
                  <w:vAlign w:val="center"/>
                </w:tcPr>
                <w:p w14:paraId="2F971F99"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Test, belirli çalışma koşulu sınıfı (A1, A2, A3 veya A4) için izin verilen en yüksek sıcaklığa karşılık gelen sıcaklıkta yapılmalıdır.</w:t>
                  </w:r>
                </w:p>
              </w:tc>
            </w:tr>
            <w:tr w:rsidR="00D52EC8" w:rsidRPr="00A90698" w14:paraId="7B253499" w14:textId="77777777" w:rsidTr="00D52EC8">
              <w:tc>
                <w:tcPr>
                  <w:tcW w:w="981" w:type="pct"/>
                  <w:vAlign w:val="center"/>
                </w:tcPr>
                <w:p w14:paraId="58085035"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Güç kaynağı verimli</w:t>
                  </w:r>
                  <w:r w:rsidRPr="00A90698">
                    <w:rPr>
                      <w:rFonts w:ascii="Times New Roman" w:hAnsi="Times New Roman" w:cs="Times New Roman"/>
                      <w:b/>
                      <w:sz w:val="20"/>
                      <w:szCs w:val="20"/>
                      <w:u w:val="single"/>
                    </w:rPr>
                    <w:lastRenderedPageBreak/>
                    <w:t>liği</w:t>
                  </w:r>
                </w:p>
              </w:tc>
              <w:tc>
                <w:tcPr>
                  <w:tcW w:w="573" w:type="pct"/>
                  <w:vAlign w:val="center"/>
                </w:tcPr>
                <w:p w14:paraId="51F9F5C4"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lastRenderedPageBreak/>
                    <w:t xml:space="preserve">EPRI ve </w:t>
                  </w:r>
                  <w:proofErr w:type="spellStart"/>
                  <w:r w:rsidRPr="00A90698">
                    <w:rPr>
                      <w:rFonts w:ascii="Times New Roman" w:hAnsi="Times New Roman" w:cs="Times New Roman"/>
                      <w:b/>
                      <w:sz w:val="20"/>
                      <w:szCs w:val="20"/>
                      <w:u w:val="single"/>
                    </w:rPr>
                    <w:t>Ec</w:t>
                  </w:r>
                  <w:r w:rsidRPr="00A90698">
                    <w:rPr>
                      <w:rFonts w:ascii="Times New Roman" w:hAnsi="Times New Roman" w:cs="Times New Roman"/>
                      <w:b/>
                      <w:sz w:val="20"/>
                      <w:szCs w:val="20"/>
                      <w:u w:val="single"/>
                    </w:rPr>
                    <w:lastRenderedPageBreak/>
                    <w:t>ova</w:t>
                  </w:r>
                  <w:proofErr w:type="spellEnd"/>
                </w:p>
              </w:tc>
              <w:tc>
                <w:tcPr>
                  <w:tcW w:w="1667" w:type="pct"/>
                  <w:vAlign w:val="center"/>
                </w:tcPr>
                <w:p w14:paraId="7D564B59"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lastRenderedPageBreak/>
                    <w:t>Dâhili AC-DC ve DC-DC Güç Kaynaklarını</w:t>
                  </w:r>
                  <w:r w:rsidRPr="00A90698">
                    <w:rPr>
                      <w:rFonts w:ascii="Times New Roman" w:hAnsi="Times New Roman" w:cs="Times New Roman"/>
                      <w:b/>
                      <w:sz w:val="20"/>
                      <w:szCs w:val="20"/>
                      <w:u w:val="single"/>
                    </w:rPr>
                    <w:lastRenderedPageBreak/>
                    <w:t>n Enerji Verimliliğini Hesaplamak İçin Genelleştirilmiş Test Protokolü Revizyon 6.7</w:t>
                  </w:r>
                </w:p>
              </w:tc>
              <w:tc>
                <w:tcPr>
                  <w:tcW w:w="1779" w:type="pct"/>
                  <w:gridSpan w:val="2"/>
                  <w:vMerge w:val="restart"/>
                  <w:vAlign w:val="center"/>
                </w:tcPr>
                <w:p w14:paraId="72958BCA"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lastRenderedPageBreak/>
                    <w:t xml:space="preserve">Test işlemi uygun bir AB voltajı ve frekansında </w:t>
                  </w:r>
                  <w:r w:rsidRPr="00A90698">
                    <w:rPr>
                      <w:rFonts w:ascii="Times New Roman" w:hAnsi="Times New Roman" w:cs="Times New Roman"/>
                      <w:b/>
                      <w:sz w:val="20"/>
                      <w:szCs w:val="20"/>
                      <w:u w:val="single"/>
                    </w:rPr>
                    <w:lastRenderedPageBreak/>
                    <w:t>(</w:t>
                  </w:r>
                  <w:proofErr w:type="spellStart"/>
                  <w:r w:rsidRPr="00A90698">
                    <w:rPr>
                      <w:rFonts w:ascii="Times New Roman" w:hAnsi="Times New Roman" w:cs="Times New Roman"/>
                      <w:b/>
                      <w:sz w:val="20"/>
                      <w:szCs w:val="20"/>
                      <w:u w:val="single"/>
                    </w:rPr>
                    <w:t>örn</w:t>
                  </w:r>
                  <w:proofErr w:type="spellEnd"/>
                  <w:r w:rsidRPr="00A90698">
                    <w:rPr>
                      <w:rFonts w:ascii="Times New Roman" w:hAnsi="Times New Roman" w:cs="Times New Roman"/>
                      <w:b/>
                      <w:sz w:val="20"/>
                      <w:szCs w:val="20"/>
                      <w:u w:val="single"/>
                    </w:rPr>
                    <w:t>. 230v, 50Hz) yapılmalıdır.</w:t>
                  </w:r>
                </w:p>
                <w:p w14:paraId="6E20CB54"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
              </w:tc>
            </w:tr>
            <w:tr w:rsidR="00D52EC8" w:rsidRPr="00A90698" w14:paraId="4E4D1359" w14:textId="77777777" w:rsidTr="00D52EC8">
              <w:tc>
                <w:tcPr>
                  <w:tcW w:w="981" w:type="pct"/>
                  <w:vAlign w:val="center"/>
                </w:tcPr>
                <w:p w14:paraId="5D5FBEC0"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lastRenderedPageBreak/>
                    <w:t>Güç kaynağı Güç Faktörü</w:t>
                  </w:r>
                </w:p>
              </w:tc>
              <w:tc>
                <w:tcPr>
                  <w:tcW w:w="573" w:type="pct"/>
                  <w:vAlign w:val="center"/>
                </w:tcPr>
                <w:p w14:paraId="3D25BE9E"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 xml:space="preserve">EPRI ve </w:t>
                  </w:r>
                  <w:proofErr w:type="spellStart"/>
                  <w:r w:rsidRPr="00A90698">
                    <w:rPr>
                      <w:rFonts w:ascii="Times New Roman" w:hAnsi="Times New Roman" w:cs="Times New Roman"/>
                      <w:b/>
                      <w:sz w:val="20"/>
                      <w:szCs w:val="20"/>
                      <w:u w:val="single"/>
                    </w:rPr>
                    <w:t>Ecova</w:t>
                  </w:r>
                  <w:proofErr w:type="spellEnd"/>
                </w:p>
              </w:tc>
              <w:tc>
                <w:tcPr>
                  <w:tcW w:w="1667" w:type="pct"/>
                  <w:vAlign w:val="center"/>
                </w:tcPr>
                <w:p w14:paraId="6C0E7855"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Dâhili AC-DC ve DC-DC Güç Kaynaklarının Enerji Verimliliğini Hesaplamak İçin Genelleştirilmiş Test Protokolü Revizyon 6.7</w:t>
                  </w:r>
                </w:p>
              </w:tc>
              <w:tc>
                <w:tcPr>
                  <w:tcW w:w="1779" w:type="pct"/>
                  <w:gridSpan w:val="2"/>
                  <w:vMerge/>
                  <w:vAlign w:val="center"/>
                </w:tcPr>
                <w:p w14:paraId="022B32EB" w14:textId="77777777" w:rsidR="00D52EC8" w:rsidRPr="00A90698" w:rsidRDefault="00D52EC8" w:rsidP="00D52EC8">
                  <w:pPr>
                    <w:pStyle w:val="Gvdemetni0"/>
                    <w:spacing w:after="0"/>
                    <w:jc w:val="center"/>
                    <w:rPr>
                      <w:rFonts w:ascii="Times New Roman" w:hAnsi="Times New Roman" w:cs="Times New Roman"/>
                      <w:b/>
                      <w:color w:val="FF0000"/>
                      <w:sz w:val="20"/>
                      <w:szCs w:val="20"/>
                      <w:u w:val="single"/>
                    </w:rPr>
                  </w:pPr>
                </w:p>
              </w:tc>
            </w:tr>
            <w:tr w:rsidR="00D52EC8" w:rsidRPr="00A90698" w14:paraId="070C9206" w14:textId="77777777" w:rsidTr="00D52EC8">
              <w:tc>
                <w:tcPr>
                  <w:tcW w:w="981" w:type="pct"/>
                  <w:vAlign w:val="center"/>
                </w:tcPr>
                <w:p w14:paraId="7DEC1D17"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Çalışma koşulu sınıfı</w:t>
                  </w:r>
                </w:p>
              </w:tc>
              <w:tc>
                <w:tcPr>
                  <w:tcW w:w="573" w:type="pct"/>
                  <w:vAlign w:val="center"/>
                </w:tcPr>
                <w:p w14:paraId="6624F171" w14:textId="77777777" w:rsidR="00D52EC8" w:rsidRPr="00A90698" w:rsidRDefault="00D52EC8" w:rsidP="00D52EC8">
                  <w:pPr>
                    <w:pStyle w:val="Gvdemetni0"/>
                    <w:spacing w:after="0"/>
                    <w:jc w:val="center"/>
                    <w:rPr>
                      <w:rFonts w:ascii="Times New Roman" w:hAnsi="Times New Roman" w:cs="Times New Roman"/>
                      <w:b/>
                      <w:color w:val="FF0000"/>
                      <w:sz w:val="20"/>
                      <w:szCs w:val="20"/>
                      <w:u w:val="single"/>
                    </w:rPr>
                  </w:pPr>
                </w:p>
              </w:tc>
              <w:tc>
                <w:tcPr>
                  <w:tcW w:w="1667" w:type="pct"/>
                  <w:vAlign w:val="center"/>
                </w:tcPr>
                <w:p w14:paraId="324F6015"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r w:rsidRPr="00A90698">
                    <w:rPr>
                      <w:rFonts w:ascii="Times New Roman" w:hAnsi="Times New Roman" w:cs="Times New Roman"/>
                      <w:b/>
                      <w:sz w:val="20"/>
                      <w:szCs w:val="20"/>
                      <w:u w:val="single"/>
                    </w:rPr>
                    <w:t xml:space="preserve">İmalatçı ürünün çalışma koşulu sınıfını A1, A2, A3 veya A4 olarak beyan etmek zorundadır. Test edilen birim, modelin uygun olduğu beyan edilen özel çalışma koşulu sınıfı için (A1, A2, A3 veya A4) izin verilen en yüksek sıcaklık değerine karşılık gelen bir sıcaklığa yerleştirilir. Birim Sunucu Verimliliği Değerlendirme Aracına (SERT- Server </w:t>
                  </w:r>
                  <w:proofErr w:type="spellStart"/>
                  <w:r w:rsidRPr="00A90698">
                    <w:rPr>
                      <w:rFonts w:ascii="Times New Roman" w:hAnsi="Times New Roman" w:cs="Times New Roman"/>
                      <w:b/>
                      <w:sz w:val="20"/>
                      <w:szCs w:val="20"/>
                      <w:u w:val="single"/>
                    </w:rPr>
                    <w:t>Efficiency</w:t>
                  </w:r>
                  <w:proofErr w:type="spellEnd"/>
                  <w:r w:rsidRPr="00A90698">
                    <w:rPr>
                      <w:rFonts w:ascii="Times New Roman" w:hAnsi="Times New Roman" w:cs="Times New Roman"/>
                      <w:b/>
                      <w:sz w:val="20"/>
                      <w:szCs w:val="20"/>
                      <w:u w:val="single"/>
                    </w:rPr>
                    <w:t xml:space="preserve"> </w:t>
                  </w:r>
                  <w:proofErr w:type="spellStart"/>
                  <w:r w:rsidRPr="00A90698">
                    <w:rPr>
                      <w:rFonts w:ascii="Times New Roman" w:hAnsi="Times New Roman" w:cs="Times New Roman"/>
                      <w:b/>
                      <w:sz w:val="20"/>
                      <w:szCs w:val="20"/>
                      <w:u w:val="single"/>
                    </w:rPr>
                    <w:t>Rating</w:t>
                  </w:r>
                  <w:proofErr w:type="spellEnd"/>
                  <w:r w:rsidRPr="00A90698">
                    <w:rPr>
                      <w:rFonts w:ascii="Times New Roman" w:hAnsi="Times New Roman" w:cs="Times New Roman"/>
                      <w:b/>
                      <w:sz w:val="20"/>
                      <w:szCs w:val="20"/>
                      <w:u w:val="single"/>
                    </w:rPr>
                    <w:t xml:space="preserve"> </w:t>
                  </w:r>
                  <w:proofErr w:type="spellStart"/>
                  <w:r w:rsidRPr="00A90698">
                    <w:rPr>
                      <w:rFonts w:ascii="Times New Roman" w:hAnsi="Times New Roman" w:cs="Times New Roman"/>
                      <w:b/>
                      <w:sz w:val="20"/>
                      <w:szCs w:val="20"/>
                      <w:u w:val="single"/>
                    </w:rPr>
                    <w:t>Tool</w:t>
                  </w:r>
                  <w:proofErr w:type="spellEnd"/>
                  <w:r w:rsidRPr="00A90698">
                    <w:rPr>
                      <w:rFonts w:ascii="Times New Roman" w:hAnsi="Times New Roman" w:cs="Times New Roman"/>
                      <w:b/>
                      <w:sz w:val="20"/>
                      <w:szCs w:val="20"/>
                      <w:u w:val="single"/>
                    </w:rPr>
                    <w:t xml:space="preserve">) göre test edilir ve 16 saatlik bir süre boyunca test döngüsü (döngüleri) sürdürülür. </w:t>
                  </w:r>
                  <w:r w:rsidRPr="00A90698">
                    <w:rPr>
                      <w:rFonts w:ascii="Times New Roman" w:hAnsi="Times New Roman" w:cs="Times New Roman"/>
                      <w:b/>
                      <w:sz w:val="20"/>
                      <w:szCs w:val="20"/>
                      <w:u w:val="single"/>
                    </w:rPr>
                    <w:lastRenderedPageBreak/>
                    <w:t>Eğer SERT geçerli sonuçlar verirse (Örneğin, Eğer test edilen birim 16 saatlik testin tamamı boyunca çalışır durumda ise) birimin beyan edilen çalışma koşulu ile uygun olduğu kabul edilir.</w:t>
                  </w:r>
                </w:p>
              </w:tc>
              <w:tc>
                <w:tcPr>
                  <w:tcW w:w="1779" w:type="pct"/>
                  <w:gridSpan w:val="2"/>
                  <w:vAlign w:val="center"/>
                </w:tcPr>
                <w:p w14:paraId="2A25CBEA"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r w:rsidRPr="00A90698">
                    <w:rPr>
                      <w:rFonts w:ascii="Times New Roman" w:hAnsi="Times New Roman" w:cs="Times New Roman"/>
                      <w:b/>
                      <w:sz w:val="20"/>
                      <w:szCs w:val="20"/>
                      <w:u w:val="single"/>
                    </w:rPr>
                    <w:lastRenderedPageBreak/>
                    <w:t>Test edilen birim, belirli çalışma koşulu sınıfı (A1, A2, A3 veya A4) için sıcaklığı, dakikada maksimum 0,5 °C değişim hızıyla izin verilen en yüksek sıcaklığa yükseltilen bir sıcaklık odasına yerleştirilmelidir. Test edilen birim, teste başlamadan önce sabit sıcaklık durumuna ulaşmak için 1 saat boşta bırakılmalıdır.</w:t>
                  </w:r>
                </w:p>
              </w:tc>
            </w:tr>
            <w:tr w:rsidR="00D52EC8" w:rsidRPr="00A90698" w14:paraId="4C4772BA" w14:textId="77777777" w:rsidTr="00D52EC8">
              <w:tc>
                <w:tcPr>
                  <w:tcW w:w="981" w:type="pct"/>
                  <w:vAlign w:val="center"/>
                </w:tcPr>
                <w:p w14:paraId="084AA4A2" w14:textId="77777777" w:rsidR="00D52EC8" w:rsidRPr="00A90698" w:rsidRDefault="00D52EC8" w:rsidP="00D52EC8">
                  <w:pPr>
                    <w:pStyle w:val="Gvdemetni0"/>
                    <w:spacing w:after="0"/>
                    <w:rPr>
                      <w:rFonts w:ascii="Times New Roman" w:hAnsi="Times New Roman" w:cs="Times New Roman"/>
                      <w:b/>
                      <w:sz w:val="20"/>
                      <w:szCs w:val="20"/>
                      <w:u w:val="single"/>
                    </w:rPr>
                  </w:pPr>
                  <w:r w:rsidRPr="00A90698">
                    <w:rPr>
                      <w:rFonts w:ascii="Times New Roman" w:hAnsi="Times New Roman" w:cs="Times New Roman"/>
                      <w:b/>
                      <w:sz w:val="20"/>
                      <w:szCs w:val="20"/>
                      <w:u w:val="single"/>
                    </w:rPr>
                    <w:t>Bellenimin kullanılabilirliği</w:t>
                  </w:r>
                </w:p>
              </w:tc>
              <w:tc>
                <w:tcPr>
                  <w:tcW w:w="573" w:type="pct"/>
                  <w:vAlign w:val="center"/>
                </w:tcPr>
                <w:p w14:paraId="329A9406" w14:textId="77777777" w:rsidR="00D52EC8" w:rsidRPr="00A90698" w:rsidRDefault="00D52EC8" w:rsidP="00D52EC8">
                  <w:pPr>
                    <w:pStyle w:val="Gvdemetni0"/>
                    <w:spacing w:after="0"/>
                    <w:jc w:val="center"/>
                    <w:rPr>
                      <w:rFonts w:ascii="Times New Roman" w:hAnsi="Times New Roman" w:cs="Times New Roman"/>
                      <w:b/>
                      <w:color w:val="FF0000"/>
                      <w:sz w:val="20"/>
                      <w:szCs w:val="20"/>
                      <w:u w:val="single"/>
                    </w:rPr>
                  </w:pPr>
                </w:p>
              </w:tc>
              <w:tc>
                <w:tcPr>
                  <w:tcW w:w="1667" w:type="pct"/>
                  <w:vAlign w:val="center"/>
                </w:tcPr>
                <w:p w14:paraId="6F2D745B" w14:textId="77777777" w:rsidR="00D52EC8" w:rsidRPr="00A90698" w:rsidRDefault="00D52EC8" w:rsidP="00D52EC8">
                  <w:pPr>
                    <w:pStyle w:val="Gvdemetni0"/>
                    <w:spacing w:after="0"/>
                    <w:jc w:val="center"/>
                    <w:rPr>
                      <w:rFonts w:ascii="Times New Roman" w:hAnsi="Times New Roman" w:cs="Times New Roman"/>
                      <w:b/>
                      <w:sz w:val="20"/>
                      <w:szCs w:val="20"/>
                      <w:u w:val="single"/>
                    </w:rPr>
                  </w:pPr>
                  <w:r w:rsidRPr="00A90698">
                    <w:rPr>
                      <w:rFonts w:ascii="Times New Roman" w:hAnsi="Times New Roman" w:cs="Times New Roman"/>
                      <w:b/>
                      <w:sz w:val="20"/>
                      <w:szCs w:val="20"/>
                      <w:u w:val="single"/>
                    </w:rPr>
                    <w:t>Mevcut değil</w:t>
                  </w:r>
                </w:p>
              </w:tc>
              <w:tc>
                <w:tcPr>
                  <w:tcW w:w="1779" w:type="pct"/>
                  <w:gridSpan w:val="2"/>
                  <w:vAlign w:val="center"/>
                </w:tcPr>
                <w:p w14:paraId="3DD5C085" w14:textId="77777777" w:rsidR="00D52EC8" w:rsidRPr="00A90698" w:rsidRDefault="00D52EC8" w:rsidP="00D52EC8">
                  <w:pPr>
                    <w:pStyle w:val="Gvdemetni0"/>
                    <w:spacing w:after="0"/>
                    <w:jc w:val="center"/>
                    <w:rPr>
                      <w:rFonts w:ascii="Times New Roman" w:hAnsi="Times New Roman" w:cs="Times New Roman"/>
                      <w:b/>
                      <w:color w:val="FF0000"/>
                      <w:sz w:val="20"/>
                      <w:szCs w:val="20"/>
                      <w:u w:val="single"/>
                    </w:rPr>
                  </w:pPr>
                </w:p>
              </w:tc>
            </w:tr>
            <w:tr w:rsidR="00D52EC8" w:rsidRPr="00A90698" w14:paraId="5C55782E" w14:textId="77777777" w:rsidTr="00D52EC8">
              <w:tc>
                <w:tcPr>
                  <w:tcW w:w="981" w:type="pct"/>
                  <w:vAlign w:val="center"/>
                </w:tcPr>
                <w:p w14:paraId="6C091D30"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Güvenli veri silme</w:t>
                  </w:r>
                </w:p>
              </w:tc>
              <w:tc>
                <w:tcPr>
                  <w:tcW w:w="573" w:type="pct"/>
                  <w:vAlign w:val="center"/>
                </w:tcPr>
                <w:p w14:paraId="34B1AF8D"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NIST</w:t>
                  </w:r>
                </w:p>
              </w:tc>
              <w:tc>
                <w:tcPr>
                  <w:tcW w:w="1667" w:type="pct"/>
                  <w:vAlign w:val="center"/>
                </w:tcPr>
                <w:p w14:paraId="1FA88A78"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roofErr w:type="spellStart"/>
                  <w:r w:rsidRPr="00A90698">
                    <w:rPr>
                      <w:rFonts w:ascii="Times New Roman" w:hAnsi="Times New Roman" w:cs="Times New Roman"/>
                      <w:b/>
                      <w:sz w:val="20"/>
                      <w:szCs w:val="20"/>
                      <w:u w:val="single"/>
                    </w:rPr>
                    <w:t>Guidelines</w:t>
                  </w:r>
                  <w:proofErr w:type="spellEnd"/>
                  <w:r w:rsidRPr="00A90698">
                    <w:rPr>
                      <w:rFonts w:ascii="Times New Roman" w:hAnsi="Times New Roman" w:cs="Times New Roman"/>
                      <w:b/>
                      <w:sz w:val="20"/>
                      <w:szCs w:val="20"/>
                      <w:u w:val="single"/>
                    </w:rPr>
                    <w:t xml:space="preserve"> </w:t>
                  </w:r>
                  <w:proofErr w:type="spellStart"/>
                  <w:r w:rsidRPr="00A90698">
                    <w:rPr>
                      <w:rFonts w:ascii="Times New Roman" w:hAnsi="Times New Roman" w:cs="Times New Roman"/>
                      <w:b/>
                      <w:sz w:val="20"/>
                      <w:szCs w:val="20"/>
                      <w:u w:val="single"/>
                    </w:rPr>
                    <w:t>for</w:t>
                  </w:r>
                  <w:proofErr w:type="spellEnd"/>
                  <w:r w:rsidRPr="00A90698">
                    <w:rPr>
                      <w:rFonts w:ascii="Times New Roman" w:hAnsi="Times New Roman" w:cs="Times New Roman"/>
                      <w:b/>
                      <w:sz w:val="20"/>
                      <w:szCs w:val="20"/>
                      <w:u w:val="single"/>
                    </w:rPr>
                    <w:t xml:space="preserve"> Media </w:t>
                  </w:r>
                  <w:proofErr w:type="spellStart"/>
                  <w:r w:rsidRPr="00A90698">
                    <w:rPr>
                      <w:rFonts w:ascii="Times New Roman" w:hAnsi="Times New Roman" w:cs="Times New Roman"/>
                      <w:b/>
                      <w:sz w:val="20"/>
                      <w:szCs w:val="20"/>
                      <w:u w:val="single"/>
                    </w:rPr>
                    <w:t>Sanitization</w:t>
                  </w:r>
                  <w:proofErr w:type="spellEnd"/>
                  <w:r w:rsidRPr="00A90698">
                    <w:rPr>
                      <w:rFonts w:ascii="Times New Roman" w:hAnsi="Times New Roman" w:cs="Times New Roman"/>
                      <w:b/>
                      <w:sz w:val="20"/>
                      <w:szCs w:val="20"/>
                      <w:u w:val="single"/>
                    </w:rPr>
                    <w:t>, NIST Özel Yayını 800-</w:t>
                  </w:r>
                  <w:proofErr w:type="gramStart"/>
                  <w:r w:rsidRPr="00A90698">
                    <w:rPr>
                      <w:rFonts w:ascii="Times New Roman" w:hAnsi="Times New Roman" w:cs="Times New Roman"/>
                      <w:b/>
                      <w:sz w:val="20"/>
                      <w:szCs w:val="20"/>
                      <w:u w:val="single"/>
                    </w:rPr>
                    <w:t>88 -</w:t>
                  </w:r>
                  <w:proofErr w:type="gramEnd"/>
                  <w:r w:rsidRPr="00A90698">
                    <w:rPr>
                      <w:rFonts w:ascii="Times New Roman" w:hAnsi="Times New Roman" w:cs="Times New Roman"/>
                      <w:b/>
                      <w:sz w:val="20"/>
                      <w:szCs w:val="20"/>
                      <w:u w:val="single"/>
                    </w:rPr>
                    <w:t xml:space="preserve"> Revizyon 1</w:t>
                  </w:r>
                </w:p>
              </w:tc>
              <w:tc>
                <w:tcPr>
                  <w:tcW w:w="1779" w:type="pct"/>
                  <w:gridSpan w:val="2"/>
                  <w:vAlign w:val="center"/>
                </w:tcPr>
                <w:p w14:paraId="1FD4D3B2"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r w:rsidRPr="00A90698">
                    <w:rPr>
                      <w:rFonts w:ascii="Times New Roman" w:hAnsi="Times New Roman" w:cs="Times New Roman"/>
                      <w:b/>
                      <w:color w:val="FF0000"/>
                      <w:sz w:val="20"/>
                      <w:szCs w:val="20"/>
                      <w:u w:val="single"/>
                    </w:rPr>
                    <w:t xml:space="preserve"> </w:t>
                  </w:r>
                </w:p>
                <w:p w14:paraId="42CA0CAF"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
              </w:tc>
            </w:tr>
            <w:tr w:rsidR="00D52EC8" w:rsidRPr="00A90698" w14:paraId="510E91B1" w14:textId="77777777" w:rsidTr="00D52EC8">
              <w:tc>
                <w:tcPr>
                  <w:tcW w:w="981" w:type="pct"/>
                  <w:vAlign w:val="center"/>
                </w:tcPr>
                <w:p w14:paraId="55F0580C"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r w:rsidRPr="00A90698">
                    <w:rPr>
                      <w:rFonts w:ascii="Times New Roman" w:hAnsi="Times New Roman" w:cs="Times New Roman"/>
                      <w:b/>
                      <w:sz w:val="20"/>
                      <w:szCs w:val="20"/>
                      <w:u w:val="single"/>
                    </w:rPr>
                    <w:t>Sunucunun sökülebilme özelliği</w:t>
                  </w:r>
                </w:p>
              </w:tc>
              <w:tc>
                <w:tcPr>
                  <w:tcW w:w="573" w:type="pct"/>
                </w:tcPr>
                <w:p w14:paraId="006EAE50" w14:textId="77777777" w:rsidR="00D52EC8" w:rsidRPr="00A90698" w:rsidRDefault="00D52EC8" w:rsidP="00D52EC8">
                  <w:pPr>
                    <w:pStyle w:val="Gvdemetni0"/>
                    <w:spacing w:after="0"/>
                    <w:jc w:val="center"/>
                    <w:rPr>
                      <w:rFonts w:ascii="Times New Roman" w:hAnsi="Times New Roman" w:cs="Times New Roman"/>
                      <w:b/>
                      <w:color w:val="FF0000"/>
                      <w:sz w:val="20"/>
                      <w:szCs w:val="20"/>
                      <w:u w:val="single"/>
                    </w:rPr>
                  </w:pPr>
                </w:p>
              </w:tc>
              <w:tc>
                <w:tcPr>
                  <w:tcW w:w="1667" w:type="pct"/>
                  <w:vAlign w:val="center"/>
                </w:tcPr>
                <w:p w14:paraId="3121E065" w14:textId="77777777" w:rsidR="00D52EC8" w:rsidRPr="00A90698" w:rsidRDefault="00D52EC8" w:rsidP="00D52EC8">
                  <w:pPr>
                    <w:pStyle w:val="Gvdemetni0"/>
                    <w:spacing w:after="0"/>
                    <w:jc w:val="center"/>
                    <w:rPr>
                      <w:rFonts w:ascii="Times New Roman" w:hAnsi="Times New Roman" w:cs="Times New Roman"/>
                      <w:b/>
                      <w:sz w:val="20"/>
                      <w:szCs w:val="20"/>
                      <w:u w:val="single"/>
                    </w:rPr>
                  </w:pPr>
                  <w:r w:rsidRPr="00A90698">
                    <w:rPr>
                      <w:rFonts w:ascii="Times New Roman" w:hAnsi="Times New Roman" w:cs="Times New Roman"/>
                      <w:b/>
                      <w:sz w:val="20"/>
                      <w:szCs w:val="20"/>
                      <w:u w:val="single"/>
                    </w:rPr>
                    <w:t>Mevcut değil</w:t>
                  </w:r>
                </w:p>
              </w:tc>
              <w:tc>
                <w:tcPr>
                  <w:tcW w:w="1779" w:type="pct"/>
                  <w:gridSpan w:val="2"/>
                </w:tcPr>
                <w:p w14:paraId="7BAA5868"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
              </w:tc>
            </w:tr>
            <w:tr w:rsidR="00D52EC8" w:rsidRPr="00A90698" w14:paraId="1F19AA3A" w14:textId="77777777" w:rsidTr="00D52EC8">
              <w:tc>
                <w:tcPr>
                  <w:tcW w:w="981" w:type="pct"/>
                </w:tcPr>
                <w:p w14:paraId="36F817EE"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Kritik ham madde (CRM) içeriği</w:t>
                  </w:r>
                </w:p>
              </w:tc>
              <w:tc>
                <w:tcPr>
                  <w:tcW w:w="573" w:type="pct"/>
                </w:tcPr>
                <w:p w14:paraId="66BADD20" w14:textId="77777777" w:rsidR="00D52EC8" w:rsidRPr="00A90698" w:rsidRDefault="00D52EC8" w:rsidP="00D52EC8">
                  <w:pPr>
                    <w:pStyle w:val="Gvdemetni0"/>
                    <w:spacing w:after="0"/>
                    <w:jc w:val="center"/>
                    <w:rPr>
                      <w:rFonts w:ascii="Times New Roman" w:hAnsi="Times New Roman" w:cs="Times New Roman"/>
                      <w:b/>
                      <w:color w:val="FF0000"/>
                      <w:sz w:val="20"/>
                      <w:szCs w:val="20"/>
                      <w:u w:val="single"/>
                    </w:rPr>
                  </w:pPr>
                </w:p>
              </w:tc>
              <w:tc>
                <w:tcPr>
                  <w:tcW w:w="1667" w:type="pct"/>
                </w:tcPr>
                <w:p w14:paraId="29C20266" w14:textId="77777777" w:rsidR="00D52EC8" w:rsidRPr="00A90698" w:rsidRDefault="00D52EC8" w:rsidP="00D52EC8">
                  <w:pPr>
                    <w:pStyle w:val="Gvdemetni0"/>
                    <w:spacing w:after="0"/>
                    <w:jc w:val="center"/>
                    <w:rPr>
                      <w:rFonts w:ascii="Times New Roman" w:hAnsi="Times New Roman" w:cs="Times New Roman"/>
                      <w:b/>
                      <w:sz w:val="20"/>
                      <w:szCs w:val="20"/>
                      <w:u w:val="single"/>
                    </w:rPr>
                  </w:pPr>
                  <w:r w:rsidRPr="00A90698">
                    <w:rPr>
                      <w:rFonts w:ascii="Times New Roman" w:hAnsi="Times New Roman" w:cs="Times New Roman"/>
                      <w:b/>
                      <w:sz w:val="20"/>
                      <w:szCs w:val="20"/>
                      <w:u w:val="single"/>
                    </w:rPr>
                    <w:t>EN 45558:2019</w:t>
                  </w:r>
                </w:p>
              </w:tc>
              <w:tc>
                <w:tcPr>
                  <w:tcW w:w="1779" w:type="pct"/>
                  <w:gridSpan w:val="2"/>
                </w:tcPr>
                <w:p w14:paraId="12E2BA81" w14:textId="77777777" w:rsidR="00D52EC8" w:rsidRPr="00A90698" w:rsidRDefault="00D52EC8" w:rsidP="00D52EC8">
                  <w:pPr>
                    <w:pStyle w:val="Gvdemetni0"/>
                    <w:spacing w:after="0"/>
                    <w:jc w:val="center"/>
                    <w:rPr>
                      <w:rFonts w:ascii="Times New Roman" w:hAnsi="Times New Roman" w:cs="Times New Roman"/>
                      <w:b/>
                      <w:color w:val="FF0000"/>
                      <w:sz w:val="20"/>
                      <w:szCs w:val="20"/>
                      <w:u w:val="single"/>
                    </w:rPr>
                  </w:pPr>
                </w:p>
              </w:tc>
            </w:tr>
          </w:tbl>
          <w:p w14:paraId="36A431DC" w14:textId="77777777" w:rsidR="00D52EC8" w:rsidRPr="00A90698" w:rsidRDefault="00D52EC8" w:rsidP="00D52EC8">
            <w:pPr>
              <w:pStyle w:val="Gvdemetni0"/>
              <w:spacing w:after="0"/>
              <w:jc w:val="both"/>
              <w:rPr>
                <w:rFonts w:ascii="Times New Roman" w:hAnsi="Times New Roman" w:cs="Times New Roman"/>
                <w:b/>
                <w:color w:val="000000"/>
                <w:sz w:val="20"/>
                <w:szCs w:val="20"/>
                <w:u w:val="single"/>
              </w:rPr>
            </w:pPr>
            <w:r w:rsidRPr="00A90698">
              <w:rPr>
                <w:rFonts w:ascii="Times New Roman" w:hAnsi="Times New Roman" w:cs="Times New Roman"/>
                <w:b/>
                <w:color w:val="000000"/>
                <w:sz w:val="20"/>
                <w:szCs w:val="20"/>
                <w:u w:val="single"/>
              </w:rPr>
              <w:t xml:space="preserve">(1) Bu, piyasadaki APA kartlarının çok çeşitli olması ve SERT aracının </w:t>
            </w:r>
            <w:proofErr w:type="spellStart"/>
            <w:r w:rsidRPr="00A90698">
              <w:rPr>
                <w:rFonts w:ascii="Times New Roman" w:hAnsi="Times New Roman" w:cs="Times New Roman"/>
                <w:b/>
                <w:color w:val="000000"/>
                <w:sz w:val="20"/>
                <w:szCs w:val="20"/>
                <w:u w:val="single"/>
              </w:rPr>
              <w:t>APA'ları</w:t>
            </w:r>
            <w:proofErr w:type="spellEnd"/>
            <w:r w:rsidRPr="00A90698">
              <w:rPr>
                <w:rFonts w:ascii="Times New Roman" w:hAnsi="Times New Roman" w:cs="Times New Roman"/>
                <w:b/>
                <w:color w:val="000000"/>
                <w:sz w:val="20"/>
                <w:szCs w:val="20"/>
                <w:u w:val="single"/>
              </w:rPr>
              <w:t xml:space="preserve"> kullanan herhangi bir iş akış seti içermemesi nedeniyle gereklidir. Bu nedenle, genişletme APA kartlarına veya diğer eklenti kartlarına sahip sunucular için SERT verimliliği sonuçları, sunucunun performans/güç kapasitesini temsil etmez.</w:t>
            </w:r>
          </w:p>
          <w:p w14:paraId="5419A701" w14:textId="77777777" w:rsidR="00D52EC8" w:rsidRPr="00A90698" w:rsidRDefault="00D52EC8" w:rsidP="00D52EC8">
            <w:pPr>
              <w:pStyle w:val="Gvdemetni0"/>
              <w:spacing w:after="0"/>
              <w:jc w:val="both"/>
              <w:rPr>
                <w:rFonts w:ascii="Times New Roman" w:hAnsi="Times New Roman" w:cs="Times New Roman"/>
                <w:b/>
                <w:color w:val="000000"/>
                <w:sz w:val="20"/>
                <w:szCs w:val="20"/>
                <w:u w:val="single"/>
              </w:rPr>
            </w:pPr>
            <w:r w:rsidRPr="00A90698">
              <w:rPr>
                <w:rFonts w:ascii="Times New Roman" w:hAnsi="Times New Roman" w:cs="Times New Roman"/>
                <w:b/>
                <w:color w:val="000000"/>
                <w:sz w:val="20"/>
                <w:szCs w:val="20"/>
                <w:u w:val="single"/>
              </w:rPr>
              <w:t xml:space="preserve">(2) Bir sunucu ürün ailesinin parçası olarak beyan edilen sunucular söz konusu olduğunda, bu Tebliğin Ek </w:t>
            </w:r>
            <w:proofErr w:type="spellStart"/>
            <w:r w:rsidRPr="00A90698">
              <w:rPr>
                <w:rFonts w:ascii="Times New Roman" w:hAnsi="Times New Roman" w:cs="Times New Roman"/>
                <w:b/>
                <w:color w:val="000000"/>
                <w:sz w:val="20"/>
                <w:szCs w:val="20"/>
                <w:u w:val="single"/>
              </w:rPr>
              <w:t>IV'ünün</w:t>
            </w:r>
            <w:proofErr w:type="spellEnd"/>
            <w:r w:rsidRPr="00A90698">
              <w:rPr>
                <w:rFonts w:ascii="Times New Roman" w:hAnsi="Times New Roman" w:cs="Times New Roman"/>
                <w:b/>
                <w:color w:val="000000"/>
                <w:sz w:val="20"/>
                <w:szCs w:val="20"/>
                <w:u w:val="single"/>
              </w:rPr>
              <w:t xml:space="preserve"> 1. maddesi, Bakanlık yetkililerinin düşük seviye performans yapılandırmasını veya yüksek seviye performans yapılandırmasını test edebileceğini öngörmektedir ve Ek </w:t>
            </w:r>
            <w:proofErr w:type="spellStart"/>
            <w:r w:rsidRPr="00A90698">
              <w:rPr>
                <w:rFonts w:ascii="Times New Roman" w:hAnsi="Times New Roman" w:cs="Times New Roman"/>
                <w:b/>
                <w:color w:val="000000"/>
                <w:sz w:val="20"/>
                <w:szCs w:val="20"/>
                <w:u w:val="single"/>
              </w:rPr>
              <w:t>I'deki</w:t>
            </w:r>
            <w:proofErr w:type="spellEnd"/>
            <w:r w:rsidRPr="00A90698">
              <w:rPr>
                <w:rFonts w:ascii="Times New Roman" w:hAnsi="Times New Roman" w:cs="Times New Roman"/>
                <w:b/>
                <w:color w:val="000000"/>
                <w:sz w:val="20"/>
                <w:szCs w:val="20"/>
                <w:u w:val="single"/>
              </w:rPr>
              <w:t xml:space="preserve"> düşük seviye performans yapılandırması ve yüksek seviye performans yapılandırması tanımlarına göre, bu yapılandırmalar aynı DIMM ham kart tasarımı ve kapasitesi ile yerleştirilmiş tüm bellek kanallarına sahip olacaktır.</w:t>
            </w:r>
          </w:p>
          <w:p w14:paraId="7728A248" w14:textId="77777777" w:rsidR="00D52EC8" w:rsidRPr="00A90698" w:rsidRDefault="00D52EC8" w:rsidP="00D52EC8">
            <w:pPr>
              <w:pStyle w:val="ResimYazs"/>
              <w:keepNext/>
              <w:jc w:val="center"/>
              <w:rPr>
                <w:b/>
                <w:i w:val="0"/>
                <w:color w:val="auto"/>
                <w:sz w:val="20"/>
                <w:szCs w:val="20"/>
                <w:u w:val="single"/>
              </w:rPr>
            </w:pPr>
            <w:r w:rsidRPr="00A90698">
              <w:rPr>
                <w:b/>
                <w:i w:val="0"/>
                <w:color w:val="auto"/>
                <w:sz w:val="20"/>
                <w:szCs w:val="20"/>
                <w:u w:val="single"/>
              </w:rPr>
              <w:lastRenderedPageBreak/>
              <w:t xml:space="preserve">Tablo </w:t>
            </w:r>
            <w:proofErr w:type="gramStart"/>
            <w:r w:rsidRPr="00A90698">
              <w:rPr>
                <w:b/>
                <w:i w:val="0"/>
                <w:color w:val="auto"/>
                <w:sz w:val="20"/>
                <w:szCs w:val="20"/>
                <w:u w:val="single"/>
              </w:rPr>
              <w:t>2a</w:t>
            </w:r>
            <w:proofErr w:type="gramEnd"/>
          </w:p>
          <w:p w14:paraId="6CE6AAF3" w14:textId="77777777" w:rsidR="00D52EC8" w:rsidRPr="00A90698" w:rsidRDefault="00D52EC8" w:rsidP="00D52EC8">
            <w:pPr>
              <w:pStyle w:val="ResimYazs"/>
              <w:keepNext/>
              <w:jc w:val="center"/>
              <w:rPr>
                <w:b/>
                <w:i w:val="0"/>
                <w:color w:val="auto"/>
                <w:sz w:val="20"/>
                <w:szCs w:val="20"/>
                <w:u w:val="single"/>
              </w:rPr>
            </w:pPr>
            <w:r w:rsidRPr="00A90698">
              <w:rPr>
                <w:b/>
                <w:i w:val="0"/>
                <w:color w:val="auto"/>
                <w:sz w:val="20"/>
                <w:szCs w:val="20"/>
                <w:u w:val="single"/>
              </w:rPr>
              <w:t xml:space="preserve">Veri depolama ürünleri için </w:t>
            </w:r>
            <w:r w:rsidRPr="00A90698">
              <w:rPr>
                <w:b/>
                <w:i w:val="0"/>
                <w:noProof/>
                <w:color w:val="auto"/>
                <w:sz w:val="20"/>
                <w:szCs w:val="20"/>
                <w:u w:val="single"/>
              </w:rPr>
              <w:t>referanslar ve niteleyici notlar</w:t>
            </w:r>
          </w:p>
          <w:tbl>
            <w:tblPr>
              <w:tblStyle w:val="TabloKlavuzu"/>
              <w:tblW w:w="5000" w:type="pct"/>
              <w:tblLayout w:type="fixed"/>
              <w:tblLook w:val="04A0" w:firstRow="1" w:lastRow="0" w:firstColumn="1" w:lastColumn="0" w:noHBand="0" w:noVBand="1"/>
            </w:tblPr>
            <w:tblGrid>
              <w:gridCol w:w="843"/>
              <w:gridCol w:w="504"/>
              <w:gridCol w:w="1916"/>
              <w:gridCol w:w="1042"/>
            </w:tblGrid>
            <w:tr w:rsidR="00D52EC8" w:rsidRPr="00A90698" w14:paraId="0F379556" w14:textId="77777777" w:rsidTr="00D52EC8">
              <w:trPr>
                <w:trHeight w:val="558"/>
                <w:tblHeader/>
              </w:trPr>
              <w:tc>
                <w:tcPr>
                  <w:tcW w:w="980" w:type="pct"/>
                  <w:vAlign w:val="center"/>
                </w:tcPr>
                <w:p w14:paraId="683923C9" w14:textId="77777777" w:rsidR="00D52EC8" w:rsidRPr="00A90698" w:rsidRDefault="00D52EC8" w:rsidP="00D52EC8">
                  <w:pPr>
                    <w:pStyle w:val="Gvdemetni0"/>
                    <w:spacing w:after="0"/>
                    <w:jc w:val="center"/>
                    <w:rPr>
                      <w:rFonts w:ascii="Times New Roman" w:hAnsi="Times New Roman" w:cs="Times New Roman"/>
                      <w:b/>
                      <w:sz w:val="20"/>
                      <w:szCs w:val="20"/>
                      <w:u w:val="single"/>
                    </w:rPr>
                  </w:pPr>
                  <w:r w:rsidRPr="00A90698">
                    <w:rPr>
                      <w:rFonts w:ascii="Times New Roman" w:hAnsi="Times New Roman" w:cs="Times New Roman"/>
                      <w:b/>
                      <w:bCs/>
                      <w:sz w:val="20"/>
                      <w:szCs w:val="20"/>
                      <w:u w:val="single"/>
                    </w:rPr>
                    <w:t>Parametre</w:t>
                  </w:r>
                </w:p>
              </w:tc>
              <w:tc>
                <w:tcPr>
                  <w:tcW w:w="585" w:type="pct"/>
                  <w:vAlign w:val="center"/>
                </w:tcPr>
                <w:p w14:paraId="731ECB6E" w14:textId="77777777" w:rsidR="00D52EC8" w:rsidRPr="00A90698" w:rsidRDefault="00D52EC8" w:rsidP="00D52EC8">
                  <w:pPr>
                    <w:pStyle w:val="Gvdemetni0"/>
                    <w:spacing w:after="0"/>
                    <w:jc w:val="center"/>
                    <w:rPr>
                      <w:rFonts w:ascii="Times New Roman" w:hAnsi="Times New Roman" w:cs="Times New Roman"/>
                      <w:b/>
                      <w:sz w:val="20"/>
                      <w:szCs w:val="20"/>
                      <w:u w:val="single"/>
                    </w:rPr>
                  </w:pPr>
                  <w:r w:rsidRPr="00A90698">
                    <w:rPr>
                      <w:rFonts w:ascii="Times New Roman" w:hAnsi="Times New Roman" w:cs="Times New Roman"/>
                      <w:b/>
                      <w:bCs/>
                      <w:sz w:val="20"/>
                      <w:szCs w:val="20"/>
                      <w:u w:val="single"/>
                    </w:rPr>
                    <w:t>Kaynak</w:t>
                  </w:r>
                </w:p>
              </w:tc>
              <w:tc>
                <w:tcPr>
                  <w:tcW w:w="2225" w:type="pct"/>
                  <w:vAlign w:val="center"/>
                </w:tcPr>
                <w:p w14:paraId="7F6F2D00" w14:textId="77777777" w:rsidR="00D52EC8" w:rsidRPr="00A90698" w:rsidRDefault="00D52EC8" w:rsidP="00D52EC8">
                  <w:pPr>
                    <w:pStyle w:val="Gvdemetni0"/>
                    <w:spacing w:after="0"/>
                    <w:jc w:val="center"/>
                    <w:rPr>
                      <w:rFonts w:ascii="Times New Roman" w:hAnsi="Times New Roman" w:cs="Times New Roman"/>
                      <w:b/>
                      <w:sz w:val="20"/>
                      <w:szCs w:val="20"/>
                      <w:u w:val="single"/>
                    </w:rPr>
                  </w:pPr>
                  <w:r w:rsidRPr="00A90698">
                    <w:rPr>
                      <w:rFonts w:ascii="Times New Roman" w:hAnsi="Times New Roman" w:cs="Times New Roman"/>
                      <w:b/>
                      <w:bCs/>
                      <w:sz w:val="20"/>
                      <w:szCs w:val="20"/>
                      <w:u w:val="single"/>
                    </w:rPr>
                    <w:t>Referans Test Metodu / Başlık</w:t>
                  </w:r>
                </w:p>
              </w:tc>
              <w:tc>
                <w:tcPr>
                  <w:tcW w:w="1210" w:type="pct"/>
                  <w:vAlign w:val="center"/>
                </w:tcPr>
                <w:p w14:paraId="671E4485" w14:textId="77777777" w:rsidR="00D52EC8" w:rsidRPr="00A90698" w:rsidRDefault="00D52EC8" w:rsidP="00D52EC8">
                  <w:pPr>
                    <w:pStyle w:val="Gvdemetni0"/>
                    <w:spacing w:after="0"/>
                    <w:jc w:val="center"/>
                    <w:rPr>
                      <w:rFonts w:ascii="Times New Roman" w:hAnsi="Times New Roman" w:cs="Times New Roman"/>
                      <w:b/>
                      <w:sz w:val="20"/>
                      <w:szCs w:val="20"/>
                      <w:u w:val="single"/>
                    </w:rPr>
                  </w:pPr>
                  <w:r w:rsidRPr="00A90698">
                    <w:rPr>
                      <w:rFonts w:ascii="Times New Roman" w:hAnsi="Times New Roman" w:cs="Times New Roman"/>
                      <w:b/>
                      <w:bCs/>
                      <w:sz w:val="20"/>
                      <w:szCs w:val="20"/>
                      <w:u w:val="single"/>
                    </w:rPr>
                    <w:t>Notlar</w:t>
                  </w:r>
                </w:p>
              </w:tc>
            </w:tr>
            <w:tr w:rsidR="00D52EC8" w:rsidRPr="00A90698" w14:paraId="2922DC33" w14:textId="77777777" w:rsidTr="00D52EC8">
              <w:tc>
                <w:tcPr>
                  <w:tcW w:w="980" w:type="pct"/>
                  <w:vAlign w:val="center"/>
                </w:tcPr>
                <w:p w14:paraId="6268B0BF"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Güç Kaynağı Verimliliği</w:t>
                  </w:r>
                </w:p>
              </w:tc>
              <w:tc>
                <w:tcPr>
                  <w:tcW w:w="585" w:type="pct"/>
                  <w:vAlign w:val="center"/>
                </w:tcPr>
                <w:p w14:paraId="65518B8A"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 xml:space="preserve">EPRI ve </w:t>
                  </w:r>
                  <w:proofErr w:type="spellStart"/>
                  <w:r w:rsidRPr="00A90698">
                    <w:rPr>
                      <w:rFonts w:ascii="Times New Roman" w:hAnsi="Times New Roman" w:cs="Times New Roman"/>
                      <w:b/>
                      <w:sz w:val="20"/>
                      <w:szCs w:val="20"/>
                      <w:u w:val="single"/>
                    </w:rPr>
                    <w:t>Ecova</w:t>
                  </w:r>
                  <w:proofErr w:type="spellEnd"/>
                </w:p>
              </w:tc>
              <w:tc>
                <w:tcPr>
                  <w:tcW w:w="2225" w:type="pct"/>
                  <w:vAlign w:val="center"/>
                </w:tcPr>
                <w:p w14:paraId="04632C84"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Dâhili AC-DC ve DC-DC Güç Kaynaklarının Enerji Verimliliğini Hesaplamak İçin Genelleştirilmiş Test Protokolü Revizyon 6.7</w:t>
                  </w:r>
                </w:p>
              </w:tc>
              <w:tc>
                <w:tcPr>
                  <w:tcW w:w="1210" w:type="pct"/>
                  <w:vMerge w:val="restart"/>
                  <w:vAlign w:val="center"/>
                </w:tcPr>
                <w:p w14:paraId="6BAF6F56"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Test işlemi uygun bir AB voltajı ve frekansında (</w:t>
                  </w:r>
                  <w:proofErr w:type="spellStart"/>
                  <w:r w:rsidRPr="00A90698">
                    <w:rPr>
                      <w:rFonts w:ascii="Times New Roman" w:hAnsi="Times New Roman" w:cs="Times New Roman"/>
                      <w:b/>
                      <w:sz w:val="20"/>
                      <w:szCs w:val="20"/>
                      <w:u w:val="single"/>
                    </w:rPr>
                    <w:t>örn</w:t>
                  </w:r>
                  <w:proofErr w:type="spellEnd"/>
                  <w:r w:rsidRPr="00A90698">
                    <w:rPr>
                      <w:rFonts w:ascii="Times New Roman" w:hAnsi="Times New Roman" w:cs="Times New Roman"/>
                      <w:b/>
                      <w:sz w:val="20"/>
                      <w:szCs w:val="20"/>
                      <w:u w:val="single"/>
                    </w:rPr>
                    <w:t>. 230v, 50Hz) yapılmalıdır.</w:t>
                  </w:r>
                </w:p>
                <w:p w14:paraId="444F169A"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
              </w:tc>
            </w:tr>
            <w:tr w:rsidR="00D52EC8" w:rsidRPr="00A90698" w14:paraId="105F7D8D" w14:textId="77777777" w:rsidTr="00D52EC8">
              <w:tc>
                <w:tcPr>
                  <w:tcW w:w="980" w:type="pct"/>
                  <w:vAlign w:val="center"/>
                </w:tcPr>
                <w:p w14:paraId="39666A98"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Güç Kaynağı Güç Faktörü</w:t>
                  </w:r>
                </w:p>
              </w:tc>
              <w:tc>
                <w:tcPr>
                  <w:tcW w:w="585" w:type="pct"/>
                  <w:vAlign w:val="center"/>
                </w:tcPr>
                <w:p w14:paraId="2914096F"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 xml:space="preserve">EPRI ve </w:t>
                  </w:r>
                  <w:proofErr w:type="spellStart"/>
                  <w:r w:rsidRPr="00A90698">
                    <w:rPr>
                      <w:rFonts w:ascii="Times New Roman" w:hAnsi="Times New Roman" w:cs="Times New Roman"/>
                      <w:b/>
                      <w:sz w:val="20"/>
                      <w:szCs w:val="20"/>
                      <w:u w:val="single"/>
                    </w:rPr>
                    <w:t>Ecova</w:t>
                  </w:r>
                  <w:proofErr w:type="spellEnd"/>
                </w:p>
              </w:tc>
              <w:tc>
                <w:tcPr>
                  <w:tcW w:w="2225" w:type="pct"/>
                  <w:vAlign w:val="center"/>
                </w:tcPr>
                <w:p w14:paraId="00BAB45B"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Dâhili AC-DC ve DC-DC Güç Kaynaklarının Enerji Verimliliğini Hesaplamak İçin Genelleştirilmiş Test Protokolü Revizyon 6.7</w:t>
                  </w:r>
                </w:p>
              </w:tc>
              <w:tc>
                <w:tcPr>
                  <w:tcW w:w="1210" w:type="pct"/>
                  <w:vMerge/>
                  <w:vAlign w:val="center"/>
                </w:tcPr>
                <w:p w14:paraId="15A5B00C"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
              </w:tc>
            </w:tr>
            <w:tr w:rsidR="00D52EC8" w:rsidRPr="00A90698" w14:paraId="78B36831" w14:textId="77777777" w:rsidTr="00D52EC8">
              <w:tc>
                <w:tcPr>
                  <w:tcW w:w="980" w:type="pct"/>
                  <w:vAlign w:val="center"/>
                </w:tcPr>
                <w:p w14:paraId="3A604A40"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Çalışma Koşulu Sınıfı</w:t>
                  </w:r>
                </w:p>
              </w:tc>
              <w:tc>
                <w:tcPr>
                  <w:tcW w:w="585" w:type="pct"/>
                  <w:vAlign w:val="center"/>
                </w:tcPr>
                <w:p w14:paraId="1B0D480A" w14:textId="77777777" w:rsidR="00D52EC8" w:rsidRPr="00A90698" w:rsidRDefault="00D52EC8" w:rsidP="00D52EC8">
                  <w:pPr>
                    <w:pStyle w:val="Gvdemetni0"/>
                    <w:spacing w:after="0"/>
                    <w:rPr>
                      <w:rFonts w:ascii="Times New Roman" w:hAnsi="Times New Roman" w:cs="Times New Roman"/>
                      <w:b/>
                      <w:sz w:val="20"/>
                      <w:szCs w:val="20"/>
                      <w:u w:val="single"/>
                    </w:rPr>
                  </w:pPr>
                  <w:proofErr w:type="spellStart"/>
                  <w:r w:rsidRPr="00A90698">
                    <w:rPr>
                      <w:rFonts w:ascii="Times New Roman" w:hAnsi="Times New Roman" w:cs="Times New Roman"/>
                      <w:b/>
                      <w:sz w:val="20"/>
                      <w:szCs w:val="20"/>
                      <w:u w:val="single"/>
                    </w:rPr>
                    <w:t>The</w:t>
                  </w:r>
                  <w:proofErr w:type="spellEnd"/>
                  <w:r w:rsidRPr="00A90698">
                    <w:rPr>
                      <w:rFonts w:ascii="Times New Roman" w:hAnsi="Times New Roman" w:cs="Times New Roman"/>
                      <w:b/>
                      <w:sz w:val="20"/>
                      <w:szCs w:val="20"/>
                      <w:u w:val="single"/>
                    </w:rPr>
                    <w:t xml:space="preserve"> </w:t>
                  </w:r>
                  <w:proofErr w:type="spellStart"/>
                  <w:r w:rsidRPr="00A90698">
                    <w:rPr>
                      <w:rFonts w:ascii="Times New Roman" w:hAnsi="Times New Roman" w:cs="Times New Roman"/>
                      <w:b/>
                      <w:sz w:val="20"/>
                      <w:szCs w:val="20"/>
                      <w:u w:val="single"/>
                    </w:rPr>
                    <w:t>Green</w:t>
                  </w:r>
                  <w:proofErr w:type="spellEnd"/>
                  <w:r w:rsidRPr="00A90698">
                    <w:rPr>
                      <w:rFonts w:ascii="Times New Roman" w:hAnsi="Times New Roman" w:cs="Times New Roman"/>
                      <w:b/>
                      <w:sz w:val="20"/>
                      <w:szCs w:val="20"/>
                      <w:u w:val="single"/>
                    </w:rPr>
                    <w:t xml:space="preserve"> </w:t>
                  </w:r>
                  <w:proofErr w:type="spellStart"/>
                  <w:r w:rsidRPr="00A90698">
                    <w:rPr>
                      <w:rFonts w:ascii="Times New Roman" w:hAnsi="Times New Roman" w:cs="Times New Roman"/>
                      <w:b/>
                      <w:sz w:val="20"/>
                      <w:szCs w:val="20"/>
                      <w:u w:val="single"/>
                    </w:rPr>
                    <w:t>Grid</w:t>
                  </w:r>
                  <w:proofErr w:type="spellEnd"/>
                </w:p>
              </w:tc>
              <w:tc>
                <w:tcPr>
                  <w:tcW w:w="2225" w:type="pct"/>
                  <w:vAlign w:val="center"/>
                </w:tcPr>
                <w:p w14:paraId="67916E10"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“Veri depolama ürünlerinin çalışma koşulu sınıfı”</w:t>
                  </w:r>
                </w:p>
              </w:tc>
              <w:tc>
                <w:tcPr>
                  <w:tcW w:w="1210" w:type="pct"/>
                  <w:vAlign w:val="center"/>
                </w:tcPr>
                <w:p w14:paraId="51385220"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 xml:space="preserve">İmalatçı, ithalatçı veya yetkili temsilci ürünün çalışma koşulu sınıfını A1, A2, A3 veya A4 olarak beyan etmek zorundadır. Test edilen birim, modelin uygun olduğu beyan edilen özel çalışma koşulu sınıfı için (A1, A2, A3 veya A4) izin verilen en yüksek sıcaklık değerine karşılık gelen bir </w:t>
                  </w:r>
                  <w:r w:rsidRPr="00A90698">
                    <w:rPr>
                      <w:rFonts w:ascii="Times New Roman" w:hAnsi="Times New Roman" w:cs="Times New Roman"/>
                      <w:b/>
                      <w:sz w:val="20"/>
                      <w:szCs w:val="20"/>
                      <w:u w:val="single"/>
                    </w:rPr>
                    <w:lastRenderedPageBreak/>
                    <w:t xml:space="preserve">sıcaklığa yerleştirilir. </w:t>
                  </w:r>
                </w:p>
              </w:tc>
            </w:tr>
            <w:tr w:rsidR="00D52EC8" w:rsidRPr="00A90698" w14:paraId="6FC48073" w14:textId="77777777" w:rsidTr="00D52EC8">
              <w:tc>
                <w:tcPr>
                  <w:tcW w:w="980" w:type="pct"/>
                </w:tcPr>
                <w:p w14:paraId="15B12673"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lastRenderedPageBreak/>
                    <w:t>Bellenimin kullanılabilirliği</w:t>
                  </w:r>
                </w:p>
              </w:tc>
              <w:tc>
                <w:tcPr>
                  <w:tcW w:w="585" w:type="pct"/>
                </w:tcPr>
                <w:p w14:paraId="481CCCFD" w14:textId="77777777" w:rsidR="00D52EC8" w:rsidRPr="00A90698" w:rsidRDefault="00D52EC8" w:rsidP="00D52EC8">
                  <w:pPr>
                    <w:pStyle w:val="Gvdemetni0"/>
                    <w:spacing w:after="0"/>
                    <w:jc w:val="both"/>
                    <w:rPr>
                      <w:rFonts w:ascii="Times New Roman" w:hAnsi="Times New Roman" w:cs="Times New Roman"/>
                      <w:b/>
                      <w:sz w:val="20"/>
                      <w:szCs w:val="20"/>
                      <w:u w:val="single"/>
                    </w:rPr>
                  </w:pPr>
                </w:p>
              </w:tc>
              <w:tc>
                <w:tcPr>
                  <w:tcW w:w="2225" w:type="pct"/>
                </w:tcPr>
                <w:p w14:paraId="13F0DD21"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r w:rsidRPr="00A90698">
                    <w:rPr>
                      <w:rFonts w:ascii="Times New Roman" w:hAnsi="Times New Roman" w:cs="Times New Roman"/>
                      <w:b/>
                      <w:sz w:val="20"/>
                      <w:szCs w:val="20"/>
                      <w:u w:val="single"/>
                    </w:rPr>
                    <w:t>Mevcut değil</w:t>
                  </w:r>
                </w:p>
              </w:tc>
              <w:tc>
                <w:tcPr>
                  <w:tcW w:w="1210" w:type="pct"/>
                </w:tcPr>
                <w:p w14:paraId="1A5FFEF3"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
              </w:tc>
            </w:tr>
            <w:tr w:rsidR="00D52EC8" w:rsidRPr="00A90698" w14:paraId="31E6740D" w14:textId="77777777" w:rsidTr="00D52EC8">
              <w:tc>
                <w:tcPr>
                  <w:tcW w:w="980" w:type="pct"/>
                  <w:vAlign w:val="center"/>
                </w:tcPr>
                <w:p w14:paraId="6080A340"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Güvenli veri silme</w:t>
                  </w:r>
                </w:p>
              </w:tc>
              <w:tc>
                <w:tcPr>
                  <w:tcW w:w="585" w:type="pct"/>
                  <w:vAlign w:val="center"/>
                </w:tcPr>
                <w:p w14:paraId="4203C89C"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r w:rsidRPr="00A90698">
                    <w:rPr>
                      <w:rFonts w:ascii="Times New Roman" w:hAnsi="Times New Roman" w:cs="Times New Roman"/>
                      <w:b/>
                      <w:sz w:val="20"/>
                      <w:szCs w:val="20"/>
                      <w:u w:val="single"/>
                    </w:rPr>
                    <w:t>NIST</w:t>
                  </w:r>
                </w:p>
              </w:tc>
              <w:tc>
                <w:tcPr>
                  <w:tcW w:w="2225" w:type="pct"/>
                  <w:vAlign w:val="center"/>
                </w:tcPr>
                <w:p w14:paraId="2633D3E7" w14:textId="38979CB7" w:rsidR="00D52EC8" w:rsidRPr="00A90698" w:rsidRDefault="005165DE" w:rsidP="00D52EC8">
                  <w:pPr>
                    <w:pStyle w:val="Gvdemetni0"/>
                    <w:spacing w:after="0"/>
                    <w:jc w:val="both"/>
                    <w:rPr>
                      <w:rFonts w:ascii="Times New Roman" w:hAnsi="Times New Roman" w:cs="Times New Roman"/>
                      <w:b/>
                      <w:sz w:val="20"/>
                      <w:szCs w:val="20"/>
                      <w:u w:val="single"/>
                    </w:rPr>
                  </w:pPr>
                  <w:r w:rsidRPr="005165DE">
                    <w:rPr>
                      <w:rFonts w:ascii="Times New Roman" w:hAnsi="Times New Roman" w:cs="Times New Roman"/>
                      <w:b/>
                      <w:sz w:val="20"/>
                      <w:szCs w:val="20"/>
                      <w:u w:val="single"/>
                    </w:rPr>
                    <w:t>Medya Temizleme Yönergeleri</w:t>
                  </w:r>
                  <w:r w:rsidR="00D52EC8" w:rsidRPr="00A90698">
                    <w:rPr>
                      <w:rFonts w:ascii="Times New Roman" w:hAnsi="Times New Roman" w:cs="Times New Roman"/>
                      <w:b/>
                      <w:sz w:val="20"/>
                      <w:szCs w:val="20"/>
                      <w:u w:val="single"/>
                    </w:rPr>
                    <w:t xml:space="preserve"> NIST Özel Yayını 800-</w:t>
                  </w:r>
                  <w:proofErr w:type="gramStart"/>
                  <w:r w:rsidR="00D52EC8" w:rsidRPr="00A90698">
                    <w:rPr>
                      <w:rFonts w:ascii="Times New Roman" w:hAnsi="Times New Roman" w:cs="Times New Roman"/>
                      <w:b/>
                      <w:sz w:val="20"/>
                      <w:szCs w:val="20"/>
                      <w:u w:val="single"/>
                    </w:rPr>
                    <w:t>88 -</w:t>
                  </w:r>
                  <w:proofErr w:type="gramEnd"/>
                  <w:r w:rsidR="00D52EC8" w:rsidRPr="00A90698">
                    <w:rPr>
                      <w:rFonts w:ascii="Times New Roman" w:hAnsi="Times New Roman" w:cs="Times New Roman"/>
                      <w:b/>
                      <w:sz w:val="20"/>
                      <w:szCs w:val="20"/>
                      <w:u w:val="single"/>
                    </w:rPr>
                    <w:t xml:space="preserve"> Revizyon 1</w:t>
                  </w:r>
                </w:p>
              </w:tc>
              <w:tc>
                <w:tcPr>
                  <w:tcW w:w="1210" w:type="pct"/>
                  <w:vAlign w:val="center"/>
                </w:tcPr>
                <w:p w14:paraId="2D55067B"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
              </w:tc>
            </w:tr>
            <w:tr w:rsidR="00D52EC8" w:rsidRPr="00A90698" w14:paraId="0EAA5705" w14:textId="77777777" w:rsidTr="00D52EC8">
              <w:tc>
                <w:tcPr>
                  <w:tcW w:w="980" w:type="pct"/>
                  <w:vAlign w:val="center"/>
                </w:tcPr>
                <w:p w14:paraId="70FEE89E"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r w:rsidRPr="00A90698">
                    <w:rPr>
                      <w:rFonts w:ascii="Times New Roman" w:hAnsi="Times New Roman" w:cs="Times New Roman"/>
                      <w:b/>
                      <w:sz w:val="20"/>
                      <w:szCs w:val="20"/>
                      <w:u w:val="single"/>
                    </w:rPr>
                    <w:t>Veri depolama ürününün sökülebilme özelliği</w:t>
                  </w:r>
                </w:p>
              </w:tc>
              <w:tc>
                <w:tcPr>
                  <w:tcW w:w="585" w:type="pct"/>
                  <w:vAlign w:val="center"/>
                </w:tcPr>
                <w:p w14:paraId="7E2EE3B0"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
              </w:tc>
              <w:tc>
                <w:tcPr>
                  <w:tcW w:w="2225" w:type="pct"/>
                  <w:vAlign w:val="center"/>
                </w:tcPr>
                <w:p w14:paraId="67E1E586"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Mevcut değil</w:t>
                  </w:r>
                </w:p>
              </w:tc>
              <w:tc>
                <w:tcPr>
                  <w:tcW w:w="1210" w:type="pct"/>
                  <w:vAlign w:val="center"/>
                </w:tcPr>
                <w:p w14:paraId="602F38FE"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
              </w:tc>
            </w:tr>
            <w:tr w:rsidR="00D52EC8" w:rsidRPr="00A90698" w14:paraId="2DB160C0" w14:textId="77777777" w:rsidTr="00D52EC8">
              <w:tc>
                <w:tcPr>
                  <w:tcW w:w="980" w:type="pct"/>
                  <w:vAlign w:val="center"/>
                </w:tcPr>
                <w:p w14:paraId="37D92020"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Kritik ham madde (CRM) içeriği</w:t>
                  </w:r>
                </w:p>
              </w:tc>
              <w:tc>
                <w:tcPr>
                  <w:tcW w:w="585" w:type="pct"/>
                  <w:vAlign w:val="center"/>
                </w:tcPr>
                <w:p w14:paraId="1FB24624"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
              </w:tc>
              <w:tc>
                <w:tcPr>
                  <w:tcW w:w="2225" w:type="pct"/>
                  <w:vAlign w:val="center"/>
                </w:tcPr>
                <w:p w14:paraId="153996BE" w14:textId="77777777" w:rsidR="00D52EC8" w:rsidRPr="00A90698" w:rsidRDefault="00D52EC8" w:rsidP="00D52EC8">
                  <w:pPr>
                    <w:pStyle w:val="Gvdemetni0"/>
                    <w:spacing w:after="0"/>
                    <w:jc w:val="both"/>
                    <w:rPr>
                      <w:rFonts w:ascii="Times New Roman" w:hAnsi="Times New Roman" w:cs="Times New Roman"/>
                      <w:b/>
                      <w:sz w:val="20"/>
                      <w:szCs w:val="20"/>
                      <w:u w:val="single"/>
                    </w:rPr>
                  </w:pPr>
                  <w:r w:rsidRPr="00A90698">
                    <w:rPr>
                      <w:rFonts w:ascii="Times New Roman" w:hAnsi="Times New Roman" w:cs="Times New Roman"/>
                      <w:b/>
                      <w:sz w:val="20"/>
                      <w:szCs w:val="20"/>
                      <w:u w:val="single"/>
                    </w:rPr>
                    <w:t>EN 45558:2019</w:t>
                  </w:r>
                </w:p>
              </w:tc>
              <w:tc>
                <w:tcPr>
                  <w:tcW w:w="1210" w:type="pct"/>
                  <w:vAlign w:val="center"/>
                </w:tcPr>
                <w:p w14:paraId="5D58AB52" w14:textId="77777777" w:rsidR="00D52EC8" w:rsidRPr="00A90698" w:rsidRDefault="00D52EC8" w:rsidP="00D52EC8">
                  <w:pPr>
                    <w:pStyle w:val="Gvdemetni0"/>
                    <w:spacing w:after="0"/>
                    <w:jc w:val="both"/>
                    <w:rPr>
                      <w:rFonts w:ascii="Times New Roman" w:hAnsi="Times New Roman" w:cs="Times New Roman"/>
                      <w:b/>
                      <w:color w:val="FF0000"/>
                      <w:sz w:val="20"/>
                      <w:szCs w:val="20"/>
                      <w:u w:val="single"/>
                    </w:rPr>
                  </w:pPr>
                </w:p>
              </w:tc>
            </w:tr>
          </w:tbl>
          <w:p w14:paraId="08D9782D" w14:textId="77777777" w:rsidR="00D52EC8" w:rsidRPr="00A90698" w:rsidRDefault="00D52EC8" w:rsidP="00D52EC8">
            <w:pPr>
              <w:rPr>
                <w:rFonts w:ascii="Times New Roman" w:hAnsi="Times New Roman" w:cs="Times New Roman"/>
                <w:b/>
                <w:color w:val="FF0000"/>
                <w:u w:val="single"/>
              </w:rPr>
            </w:pPr>
          </w:p>
          <w:p w14:paraId="35D8578E" w14:textId="77777777" w:rsidR="00D52EC8" w:rsidRDefault="00D52EC8" w:rsidP="00D52EC8">
            <w:pPr>
              <w:rPr>
                <w:rFonts w:ascii="Times New Roman" w:hAnsi="Times New Roman" w:cs="Times New Roman"/>
              </w:rPr>
            </w:pPr>
            <w:r w:rsidRPr="00A90698">
              <w:rPr>
                <w:rFonts w:ascii="Times New Roman" w:hAnsi="Times New Roman" w:cs="Times New Roman"/>
                <w:b/>
                <w:u w:val="single"/>
              </w:rPr>
              <w:t>”</w:t>
            </w:r>
            <w:r w:rsidRPr="00A90698">
              <w:rPr>
                <w:rFonts w:ascii="Times New Roman" w:hAnsi="Times New Roman" w:cs="Times New Roman"/>
              </w:rPr>
              <w:tab/>
            </w:r>
          </w:p>
          <w:p w14:paraId="6B926088" w14:textId="77777777" w:rsidR="00926ED7" w:rsidRDefault="00926ED7" w:rsidP="00D52EC8">
            <w:pPr>
              <w:rPr>
                <w:rFonts w:ascii="Times New Roman" w:hAnsi="Times New Roman" w:cs="Times New Roman"/>
              </w:rPr>
            </w:pPr>
          </w:p>
          <w:p w14:paraId="698E31B9" w14:textId="77777777" w:rsidR="00926ED7" w:rsidRPr="00EE3ADE" w:rsidRDefault="00926ED7" w:rsidP="00926ED7">
            <w:pPr>
              <w:jc w:val="center"/>
              <w:rPr>
                <w:rFonts w:ascii="Times New Roman" w:hAnsi="Times New Roman" w:cs="Times New Roman"/>
                <w:b/>
              </w:rPr>
            </w:pPr>
            <w:r w:rsidRPr="00EE3ADE">
              <w:rPr>
                <w:rFonts w:ascii="Times New Roman" w:hAnsi="Times New Roman" w:cs="Times New Roman"/>
                <w:b/>
              </w:rPr>
              <w:t>Ek-2</w:t>
            </w:r>
          </w:p>
          <w:p w14:paraId="0F166AD7" w14:textId="77777777" w:rsidR="00926ED7" w:rsidRPr="00EE3ADE" w:rsidRDefault="00926ED7" w:rsidP="00926ED7">
            <w:pPr>
              <w:rPr>
                <w:rFonts w:ascii="Times New Roman" w:hAnsi="Times New Roman" w:cs="Times New Roman"/>
                <w:b/>
              </w:rPr>
            </w:pPr>
          </w:p>
          <w:p w14:paraId="6A0D6B68" w14:textId="77777777" w:rsidR="00926ED7" w:rsidRPr="00EE3ADE" w:rsidRDefault="00926ED7" w:rsidP="00926ED7">
            <w:pPr>
              <w:pStyle w:val="Gvdemetni0"/>
              <w:spacing w:after="0"/>
              <w:ind w:left="1080"/>
              <w:jc w:val="right"/>
              <w:rPr>
                <w:rFonts w:ascii="Times New Roman" w:hAnsi="Times New Roman" w:cs="Times New Roman"/>
                <w:b/>
                <w:color w:val="000000"/>
                <w:sz w:val="20"/>
                <w:szCs w:val="20"/>
              </w:rPr>
            </w:pPr>
            <w:r w:rsidRPr="00EE3ADE">
              <w:rPr>
                <w:rFonts w:ascii="Times New Roman" w:hAnsi="Times New Roman" w:cs="Times New Roman"/>
                <w:b/>
                <w:color w:val="000000"/>
                <w:sz w:val="20"/>
                <w:szCs w:val="20"/>
              </w:rPr>
              <w:t>“Ek–IV</w:t>
            </w:r>
          </w:p>
          <w:p w14:paraId="1FDE628E" w14:textId="77777777" w:rsidR="00926ED7" w:rsidRPr="00EE3ADE" w:rsidRDefault="00926ED7" w:rsidP="00926ED7">
            <w:pPr>
              <w:pStyle w:val="Gvdemetni0"/>
              <w:spacing w:after="0"/>
              <w:jc w:val="center"/>
              <w:rPr>
                <w:rFonts w:ascii="Times New Roman" w:hAnsi="Times New Roman" w:cs="Times New Roman"/>
                <w:sz w:val="20"/>
                <w:szCs w:val="20"/>
              </w:rPr>
            </w:pPr>
            <w:r w:rsidRPr="00EE3ADE">
              <w:rPr>
                <w:rFonts w:ascii="Times New Roman" w:hAnsi="Times New Roman" w:cs="Times New Roman"/>
                <w:b/>
                <w:bCs/>
                <w:color w:val="000000"/>
                <w:sz w:val="20"/>
                <w:szCs w:val="20"/>
              </w:rPr>
              <w:t>PİYASA GÖZETİMİ VE DENETİMİ AMAÇLI DOĞRULAMA YÖNTEMİ</w:t>
            </w:r>
          </w:p>
          <w:p w14:paraId="31779909" w14:textId="77777777" w:rsidR="00926ED7" w:rsidRPr="00094E94" w:rsidRDefault="00926ED7" w:rsidP="00926ED7">
            <w:pPr>
              <w:pStyle w:val="Gvdemetni0"/>
              <w:spacing w:after="0"/>
              <w:jc w:val="both"/>
              <w:rPr>
                <w:rFonts w:ascii="Times New Roman" w:hAnsi="Times New Roman" w:cs="Times New Roman"/>
                <w:b/>
                <w:color w:val="000000" w:themeColor="text1"/>
                <w:sz w:val="20"/>
                <w:szCs w:val="20"/>
                <w:u w:val="single"/>
              </w:rPr>
            </w:pPr>
            <w:r w:rsidRPr="00094E94">
              <w:rPr>
                <w:rFonts w:ascii="Times New Roman" w:hAnsi="Times New Roman" w:cs="Times New Roman"/>
                <w:b/>
                <w:color w:val="000000" w:themeColor="text1"/>
                <w:sz w:val="20"/>
                <w:szCs w:val="20"/>
                <w:u w:val="single"/>
              </w:rPr>
              <w:t xml:space="preserve">Bu </w:t>
            </w:r>
            <w:proofErr w:type="spellStart"/>
            <w:r w:rsidRPr="00094E94">
              <w:rPr>
                <w:rFonts w:ascii="Times New Roman" w:hAnsi="Times New Roman" w:cs="Times New Roman"/>
                <w:b/>
                <w:color w:val="000000" w:themeColor="text1"/>
                <w:sz w:val="20"/>
                <w:szCs w:val="20"/>
                <w:u w:val="single"/>
              </w:rPr>
              <w:t>Ek'te</w:t>
            </w:r>
            <w:proofErr w:type="spellEnd"/>
            <w:r w:rsidRPr="00094E94">
              <w:rPr>
                <w:rFonts w:ascii="Times New Roman" w:hAnsi="Times New Roman" w:cs="Times New Roman"/>
                <w:b/>
                <w:color w:val="000000" w:themeColor="text1"/>
                <w:sz w:val="20"/>
                <w:szCs w:val="20"/>
                <w:u w:val="single"/>
              </w:rPr>
              <w:t xml:space="preserve"> tanımlanan doğrulama toleransları, yalnızca beyan edilen değerlerin Bakanlık tarafından doğrulanması ile ilgilidir ve teknik dosyadaki değerleri belirlemek veya uygunluk sağlamak amacıyla bu değerleri yorumlamak veya herhangi bir surette daha iyi bir performans bildirmek için izin verilen bir tolerans olarak imalatçı, ithalatçı veya yetkili temsilci tarafından kullanılamaz.</w:t>
            </w:r>
          </w:p>
          <w:p w14:paraId="5436B1A1" w14:textId="77777777" w:rsidR="00926ED7" w:rsidRPr="00EE3ADE" w:rsidRDefault="00926ED7" w:rsidP="00926ED7">
            <w:pPr>
              <w:pStyle w:val="Gvdemetni0"/>
              <w:spacing w:after="0"/>
              <w:jc w:val="both"/>
              <w:rPr>
                <w:rFonts w:ascii="Times New Roman" w:hAnsi="Times New Roman" w:cs="Times New Roman"/>
                <w:sz w:val="20"/>
                <w:szCs w:val="20"/>
              </w:rPr>
            </w:pPr>
            <w:r w:rsidRPr="00EE3ADE">
              <w:rPr>
                <w:rFonts w:ascii="Times New Roman" w:hAnsi="Times New Roman" w:cs="Times New Roman"/>
                <w:sz w:val="20"/>
                <w:szCs w:val="20"/>
              </w:rPr>
              <w:t>Bir model, test edildiğini algılayabilecek (örneğin, test koşullarını veya test döngüsünü tanıyarak) ve bu Tebliğde tanımlanan veya teknik dosyada yer alan veya herhangi bir dosyada yer alan herhangi bir parametre için otomatik olarak daha uygun bir seviyeye ulaşmak amacıyla test sırasında performansını değiştirerek belirli bir biçimde tepki verecek şekilde tasarlanırsa modelin uyumlu olmadığı kabul edilir.</w:t>
            </w:r>
          </w:p>
          <w:p w14:paraId="514952A4" w14:textId="77777777" w:rsidR="00926ED7" w:rsidRPr="00094E94" w:rsidRDefault="00926ED7" w:rsidP="00926ED7">
            <w:pPr>
              <w:pStyle w:val="Gvdemetni0"/>
              <w:spacing w:after="0"/>
              <w:jc w:val="both"/>
              <w:rPr>
                <w:rFonts w:ascii="Times New Roman" w:hAnsi="Times New Roman" w:cs="Times New Roman"/>
                <w:b/>
                <w:sz w:val="20"/>
                <w:szCs w:val="20"/>
                <w:u w:val="single"/>
              </w:rPr>
            </w:pPr>
            <w:r w:rsidRPr="00094E94">
              <w:rPr>
                <w:rFonts w:ascii="Times New Roman" w:hAnsi="Times New Roman" w:cs="Times New Roman"/>
                <w:b/>
                <w:color w:val="000000" w:themeColor="text1"/>
                <w:sz w:val="20"/>
                <w:szCs w:val="20"/>
                <w:u w:val="single"/>
              </w:rPr>
              <w:t>Bakanlık bir ürün modelinin Enerji İle İlgili Ürünlerin Çevreye Duyarlı Tasarımına İlişkin Yönetmeliğin 5 inci maddesinin ikinci fıkrası gereği bu Tebliğ’de belirtilen gerekliliklere uygunluğu doğrulamanın bir parçası olarak, bu ekte belirtilen gereklilikler için, aşağıdaki prosedürü uygular:</w:t>
            </w:r>
          </w:p>
          <w:p w14:paraId="04F43FAA" w14:textId="77777777" w:rsidR="00926ED7" w:rsidRPr="00EE3ADE" w:rsidRDefault="00926ED7" w:rsidP="00EE3ADE">
            <w:pPr>
              <w:pStyle w:val="Gvdemetni0"/>
              <w:numPr>
                <w:ilvl w:val="0"/>
                <w:numId w:val="6"/>
              </w:numPr>
              <w:spacing w:after="0"/>
              <w:ind w:left="317"/>
              <w:jc w:val="both"/>
              <w:rPr>
                <w:rFonts w:ascii="Times New Roman" w:hAnsi="Times New Roman" w:cs="Times New Roman"/>
                <w:color w:val="000000"/>
                <w:sz w:val="20"/>
                <w:szCs w:val="20"/>
              </w:rPr>
            </w:pPr>
            <w:r w:rsidRPr="00EE3ADE">
              <w:rPr>
                <w:rFonts w:ascii="Times New Roman" w:hAnsi="Times New Roman" w:cs="Times New Roman"/>
                <w:color w:val="000000"/>
                <w:sz w:val="20"/>
                <w:szCs w:val="20"/>
              </w:rPr>
              <w:t xml:space="preserve">Bakanlık, modelin veya imalatçının bir sunucu ürün ailesini bildirmesi durumunda, model </w:t>
            </w:r>
            <w:r w:rsidRPr="00EE3ADE">
              <w:rPr>
                <w:rFonts w:ascii="Times New Roman" w:hAnsi="Times New Roman" w:cs="Times New Roman"/>
                <w:color w:val="000000"/>
                <w:sz w:val="20"/>
                <w:szCs w:val="20"/>
              </w:rPr>
              <w:lastRenderedPageBreak/>
              <w:t>yapılandırmasının tek bir birimini doğrular. Eğer düşük seviye performans yapılandırmasında ya da yüksek seviye performans yapılandırmasında doğrulama sağlanırsa beyan edilen değerler ilgili yapılandırmaya ait değerler olur. Eğer doğrulama rastgele seçilen veya sıralanan bir model yapılandırmasına uygulanırsa beyan edilen değerler yüksek seviye performans yapılandırması değerleri olur.</w:t>
            </w:r>
          </w:p>
          <w:p w14:paraId="293B0752" w14:textId="77777777" w:rsidR="00926ED7" w:rsidRPr="00EE3ADE" w:rsidRDefault="00926ED7" w:rsidP="00EE3ADE">
            <w:pPr>
              <w:pStyle w:val="Gvdemetni0"/>
              <w:numPr>
                <w:ilvl w:val="0"/>
                <w:numId w:val="6"/>
              </w:numPr>
              <w:spacing w:after="0"/>
              <w:ind w:left="426" w:hanging="426"/>
              <w:jc w:val="both"/>
              <w:rPr>
                <w:rFonts w:ascii="Times New Roman" w:hAnsi="Times New Roman" w:cs="Times New Roman"/>
                <w:color w:val="000000"/>
                <w:sz w:val="20"/>
                <w:szCs w:val="20"/>
              </w:rPr>
            </w:pPr>
            <w:r w:rsidRPr="00EE3ADE">
              <w:rPr>
                <w:rFonts w:ascii="Times New Roman" w:hAnsi="Times New Roman" w:cs="Times New Roman"/>
                <w:sz w:val="20"/>
                <w:szCs w:val="20"/>
              </w:rPr>
              <w:t>Aşağıdaki durumlarda, model veya model yapılandırmasının uygulanabilir gerekliliklerle uygun olduğu kabul edilir:</w:t>
            </w:r>
          </w:p>
          <w:p w14:paraId="58948EDB" w14:textId="77777777" w:rsidR="00926ED7" w:rsidRPr="00EE3ADE" w:rsidRDefault="00926ED7" w:rsidP="00926ED7">
            <w:pPr>
              <w:pStyle w:val="Gvdemetni0"/>
              <w:spacing w:after="0"/>
              <w:ind w:firstLine="426"/>
              <w:jc w:val="both"/>
              <w:rPr>
                <w:rFonts w:ascii="Times New Roman" w:hAnsi="Times New Roman" w:cs="Times New Roman"/>
                <w:color w:val="000000"/>
                <w:sz w:val="20"/>
                <w:szCs w:val="20"/>
              </w:rPr>
            </w:pPr>
            <w:r w:rsidRPr="00EE3ADE">
              <w:rPr>
                <w:rFonts w:ascii="Times New Roman" w:hAnsi="Times New Roman" w:cs="Times New Roman"/>
                <w:color w:val="000000"/>
                <w:sz w:val="20"/>
                <w:szCs w:val="20"/>
              </w:rPr>
              <w:t>(a) Enerji ile İlgili Ürünlerin Çevreye Duyarlı Tasarımına İlişkin Yönetmeliğin Ek-</w:t>
            </w:r>
            <w:proofErr w:type="spellStart"/>
            <w:r w:rsidRPr="00EE3ADE">
              <w:rPr>
                <w:rFonts w:ascii="Times New Roman" w:hAnsi="Times New Roman" w:cs="Times New Roman"/>
                <w:color w:val="000000"/>
                <w:sz w:val="20"/>
                <w:szCs w:val="20"/>
              </w:rPr>
              <w:t>IV’ünün</w:t>
            </w:r>
            <w:proofErr w:type="spellEnd"/>
            <w:r w:rsidRPr="00EE3ADE">
              <w:rPr>
                <w:rFonts w:ascii="Times New Roman" w:hAnsi="Times New Roman" w:cs="Times New Roman"/>
                <w:color w:val="000000"/>
                <w:sz w:val="20"/>
                <w:szCs w:val="20"/>
              </w:rPr>
              <w:t xml:space="preserve"> </w:t>
            </w:r>
            <w:proofErr w:type="gramStart"/>
            <w:r w:rsidRPr="00EE3ADE">
              <w:rPr>
                <w:rFonts w:ascii="Times New Roman" w:hAnsi="Times New Roman" w:cs="Times New Roman"/>
                <w:color w:val="000000"/>
                <w:sz w:val="20"/>
                <w:szCs w:val="20"/>
              </w:rPr>
              <w:t xml:space="preserve">2 </w:t>
            </w:r>
            <w:proofErr w:type="spellStart"/>
            <w:r w:rsidRPr="00EE3ADE">
              <w:rPr>
                <w:rFonts w:ascii="Times New Roman" w:hAnsi="Times New Roman" w:cs="Times New Roman"/>
                <w:color w:val="000000"/>
                <w:sz w:val="20"/>
                <w:szCs w:val="20"/>
              </w:rPr>
              <w:t>nci</w:t>
            </w:r>
            <w:proofErr w:type="spellEnd"/>
            <w:proofErr w:type="gramEnd"/>
            <w:r w:rsidRPr="00EE3ADE">
              <w:rPr>
                <w:rFonts w:ascii="Times New Roman" w:hAnsi="Times New Roman" w:cs="Times New Roman"/>
                <w:color w:val="000000"/>
                <w:sz w:val="20"/>
                <w:szCs w:val="20"/>
              </w:rPr>
              <w:t xml:space="preserve"> maddesi uyarınca teknik dosyada beyan edilen değerler, uygulanabilir hallerde, bu değerleri hesaplamak için kullanılan değerler, imalatçı veya ithalatçı lehine, aynı Yönetmeliğin Ek-</w:t>
            </w:r>
            <w:proofErr w:type="spellStart"/>
            <w:r w:rsidRPr="00EE3ADE">
              <w:rPr>
                <w:rFonts w:ascii="Times New Roman" w:hAnsi="Times New Roman" w:cs="Times New Roman"/>
                <w:color w:val="000000"/>
                <w:sz w:val="20"/>
                <w:szCs w:val="20"/>
              </w:rPr>
              <w:t>IV’ünün</w:t>
            </w:r>
            <w:proofErr w:type="spellEnd"/>
            <w:r w:rsidRPr="00EE3ADE">
              <w:rPr>
                <w:rFonts w:ascii="Times New Roman" w:hAnsi="Times New Roman" w:cs="Times New Roman"/>
                <w:color w:val="000000"/>
                <w:sz w:val="20"/>
                <w:szCs w:val="20"/>
              </w:rPr>
              <w:t xml:space="preserve"> (f) bendi uyarınca yapılan ilgili ölçümlerin sonuçlarından daha olumlu olmazsa ve,</w:t>
            </w:r>
          </w:p>
          <w:p w14:paraId="56395EFE" w14:textId="77777777" w:rsidR="00926ED7" w:rsidRPr="00EE3ADE" w:rsidRDefault="00926ED7" w:rsidP="00926ED7">
            <w:pPr>
              <w:pStyle w:val="Gvdemetni0"/>
              <w:spacing w:after="0"/>
              <w:ind w:firstLine="426"/>
              <w:jc w:val="both"/>
              <w:rPr>
                <w:rFonts w:ascii="Times New Roman" w:hAnsi="Times New Roman" w:cs="Times New Roman"/>
                <w:color w:val="000000"/>
                <w:sz w:val="20"/>
                <w:szCs w:val="20"/>
              </w:rPr>
            </w:pPr>
            <w:r w:rsidRPr="00EE3ADE">
              <w:rPr>
                <w:rFonts w:ascii="Times New Roman" w:hAnsi="Times New Roman" w:cs="Times New Roman"/>
                <w:color w:val="000000"/>
                <w:sz w:val="20"/>
                <w:szCs w:val="20"/>
              </w:rPr>
              <w:t xml:space="preserve">(b) Beyan edilen değerler, bu Tebliğin tüm gerekliliklerini karşılarsa ve imalatçı veya ithalatçı tarafından talep edilen ve yayınlanan herhangi bir ürün bilgisi beyan edilen değerlerden imalatçı veya ithalatçı lehine daha olumlu değerler </w:t>
            </w:r>
            <w:proofErr w:type="gramStart"/>
            <w:r w:rsidRPr="00EE3ADE">
              <w:rPr>
                <w:rFonts w:ascii="Times New Roman" w:hAnsi="Times New Roman" w:cs="Times New Roman"/>
                <w:color w:val="000000"/>
                <w:sz w:val="20"/>
                <w:szCs w:val="20"/>
              </w:rPr>
              <w:t>içermezse;</w:t>
            </w:r>
            <w:proofErr w:type="gramEnd"/>
            <w:r w:rsidRPr="00EE3ADE">
              <w:rPr>
                <w:rFonts w:ascii="Times New Roman" w:hAnsi="Times New Roman" w:cs="Times New Roman"/>
                <w:color w:val="000000"/>
                <w:sz w:val="20"/>
                <w:szCs w:val="20"/>
              </w:rPr>
              <w:t xml:space="preserve"> ve,</w:t>
            </w:r>
          </w:p>
          <w:p w14:paraId="71FE24A4" w14:textId="77777777" w:rsidR="00926ED7" w:rsidRPr="00EE3ADE" w:rsidRDefault="00926ED7" w:rsidP="00926ED7">
            <w:pPr>
              <w:pStyle w:val="Gvdemetni0"/>
              <w:spacing w:after="0"/>
              <w:ind w:firstLine="426"/>
              <w:jc w:val="both"/>
              <w:rPr>
                <w:rFonts w:ascii="Times New Roman" w:hAnsi="Times New Roman" w:cs="Times New Roman"/>
                <w:color w:val="000000"/>
                <w:sz w:val="20"/>
                <w:szCs w:val="20"/>
              </w:rPr>
            </w:pPr>
            <w:r w:rsidRPr="00EE3ADE">
              <w:rPr>
                <w:rFonts w:ascii="Times New Roman" w:hAnsi="Times New Roman" w:cs="Times New Roman"/>
                <w:sz w:val="20"/>
                <w:szCs w:val="20"/>
              </w:rPr>
              <w:t>(c) Bakanlık, modelin birimini veya imalatçının sunucunun bir sunucu ürün ailesini temsil ettiğini beyan etmesi durumda alternatif olarak düşük seviye performans yapılandırmasını veya yüksek seviye performans yapılandırmasını test ettiğinde, belirlenen değerler (test sırasında ölçülen ilgili parametrelerin değerleri ve bu ölçümlerden hesaplanan değerler) Tablo 7’de verilen ilgili doğrulama toleransları ile uyumlu olursa.</w:t>
            </w:r>
          </w:p>
          <w:p w14:paraId="3DD096C6" w14:textId="77777777" w:rsidR="00926ED7" w:rsidRPr="00307285" w:rsidRDefault="00926ED7" w:rsidP="00926ED7">
            <w:pPr>
              <w:pStyle w:val="Gvdemetni0"/>
              <w:spacing w:after="0"/>
              <w:ind w:firstLine="426"/>
              <w:jc w:val="both"/>
              <w:rPr>
                <w:rFonts w:ascii="Times New Roman" w:hAnsi="Times New Roman" w:cs="Times New Roman"/>
                <w:b/>
                <w:color w:val="000000"/>
                <w:sz w:val="20"/>
                <w:szCs w:val="20"/>
                <w:u w:val="single"/>
              </w:rPr>
            </w:pPr>
            <w:r w:rsidRPr="00307285">
              <w:rPr>
                <w:rFonts w:ascii="Times New Roman" w:hAnsi="Times New Roman" w:cs="Times New Roman"/>
                <w:b/>
                <w:color w:val="000000" w:themeColor="text1"/>
                <w:sz w:val="20"/>
                <w:szCs w:val="20"/>
                <w:u w:val="single"/>
              </w:rPr>
              <w:t>(</w:t>
            </w:r>
            <w:proofErr w:type="gramStart"/>
            <w:r w:rsidRPr="00307285">
              <w:rPr>
                <w:rFonts w:ascii="Times New Roman" w:hAnsi="Times New Roman" w:cs="Times New Roman"/>
                <w:b/>
                <w:color w:val="000000" w:themeColor="text1"/>
                <w:sz w:val="20"/>
                <w:szCs w:val="20"/>
                <w:u w:val="single"/>
              </w:rPr>
              <w:t>ç</w:t>
            </w:r>
            <w:proofErr w:type="gramEnd"/>
            <w:r w:rsidRPr="00307285">
              <w:rPr>
                <w:rFonts w:ascii="Times New Roman" w:hAnsi="Times New Roman" w:cs="Times New Roman"/>
                <w:b/>
                <w:color w:val="000000" w:themeColor="text1"/>
                <w:sz w:val="20"/>
                <w:szCs w:val="20"/>
                <w:u w:val="single"/>
              </w:rPr>
              <w:t>) Bakanlık, modelin birimini kontrol ettiğinde, Ek-</w:t>
            </w:r>
            <w:proofErr w:type="spellStart"/>
            <w:r w:rsidRPr="00307285">
              <w:rPr>
                <w:rFonts w:ascii="Times New Roman" w:hAnsi="Times New Roman" w:cs="Times New Roman"/>
                <w:b/>
                <w:color w:val="000000" w:themeColor="text1"/>
                <w:sz w:val="20"/>
                <w:szCs w:val="20"/>
                <w:u w:val="single"/>
              </w:rPr>
              <w:t>II'nin</w:t>
            </w:r>
            <w:proofErr w:type="spellEnd"/>
            <w:r w:rsidRPr="00307285">
              <w:rPr>
                <w:rFonts w:ascii="Times New Roman" w:hAnsi="Times New Roman" w:cs="Times New Roman"/>
                <w:b/>
                <w:color w:val="000000" w:themeColor="text1"/>
                <w:sz w:val="20"/>
                <w:szCs w:val="20"/>
                <w:u w:val="single"/>
              </w:rPr>
              <w:t xml:space="preserve"> 3.3 üncü maddesindeki kaynak verimliliği gerekliliklerine ve Ek-</w:t>
            </w:r>
            <w:proofErr w:type="spellStart"/>
            <w:r w:rsidRPr="00307285">
              <w:rPr>
                <w:rFonts w:ascii="Times New Roman" w:hAnsi="Times New Roman" w:cs="Times New Roman"/>
                <w:b/>
                <w:color w:val="000000" w:themeColor="text1"/>
                <w:sz w:val="20"/>
                <w:szCs w:val="20"/>
                <w:u w:val="single"/>
              </w:rPr>
              <w:t>II'nin</w:t>
            </w:r>
            <w:proofErr w:type="spellEnd"/>
            <w:r w:rsidRPr="00307285">
              <w:rPr>
                <w:rFonts w:ascii="Times New Roman" w:hAnsi="Times New Roman" w:cs="Times New Roman"/>
                <w:b/>
                <w:color w:val="000000" w:themeColor="text1"/>
                <w:sz w:val="20"/>
                <w:szCs w:val="20"/>
                <w:u w:val="single"/>
              </w:rPr>
              <w:t xml:space="preserve"> 3.1 veya 3.2 </w:t>
            </w:r>
            <w:proofErr w:type="spellStart"/>
            <w:r w:rsidRPr="00307285">
              <w:rPr>
                <w:rFonts w:ascii="Times New Roman" w:hAnsi="Times New Roman" w:cs="Times New Roman"/>
                <w:b/>
                <w:color w:val="000000" w:themeColor="text1"/>
                <w:sz w:val="20"/>
                <w:szCs w:val="20"/>
                <w:u w:val="single"/>
              </w:rPr>
              <w:t>nci</w:t>
            </w:r>
            <w:proofErr w:type="spellEnd"/>
            <w:r w:rsidRPr="00307285">
              <w:rPr>
                <w:rFonts w:ascii="Times New Roman" w:hAnsi="Times New Roman" w:cs="Times New Roman"/>
                <w:b/>
                <w:color w:val="000000" w:themeColor="text1"/>
                <w:sz w:val="20"/>
                <w:szCs w:val="20"/>
                <w:u w:val="single"/>
              </w:rPr>
              <w:t xml:space="preserve"> maddesindeki bilgi gerekliliklerine uygunsa.</w:t>
            </w:r>
          </w:p>
          <w:p w14:paraId="0634F2B0" w14:textId="77777777" w:rsidR="00926ED7" w:rsidRPr="00307285" w:rsidRDefault="00926ED7" w:rsidP="00EE3ADE">
            <w:pPr>
              <w:pStyle w:val="Gvdemetni0"/>
              <w:numPr>
                <w:ilvl w:val="0"/>
                <w:numId w:val="6"/>
              </w:numPr>
              <w:spacing w:after="0"/>
              <w:ind w:left="426" w:hanging="426"/>
              <w:jc w:val="both"/>
              <w:rPr>
                <w:rFonts w:ascii="Times New Roman" w:hAnsi="Times New Roman" w:cs="Times New Roman"/>
                <w:b/>
                <w:color w:val="000000"/>
                <w:sz w:val="20"/>
                <w:szCs w:val="20"/>
                <w:u w:val="single"/>
              </w:rPr>
            </w:pPr>
            <w:r w:rsidRPr="00307285">
              <w:rPr>
                <w:rFonts w:ascii="Times New Roman" w:hAnsi="Times New Roman" w:cs="Times New Roman"/>
                <w:b/>
                <w:color w:val="000000" w:themeColor="text1"/>
                <w:sz w:val="20"/>
                <w:szCs w:val="20"/>
                <w:u w:val="single"/>
              </w:rPr>
              <w:t xml:space="preserve">Bu </w:t>
            </w:r>
            <w:proofErr w:type="spellStart"/>
            <w:r w:rsidRPr="00307285">
              <w:rPr>
                <w:rFonts w:ascii="Times New Roman" w:hAnsi="Times New Roman" w:cs="Times New Roman"/>
                <w:b/>
                <w:color w:val="000000" w:themeColor="text1"/>
                <w:sz w:val="20"/>
                <w:szCs w:val="20"/>
                <w:u w:val="single"/>
              </w:rPr>
              <w:t>Ek’in</w:t>
            </w:r>
            <w:proofErr w:type="spellEnd"/>
            <w:r w:rsidRPr="00307285">
              <w:rPr>
                <w:rFonts w:ascii="Times New Roman" w:hAnsi="Times New Roman" w:cs="Times New Roman"/>
                <w:b/>
                <w:color w:val="000000" w:themeColor="text1"/>
                <w:sz w:val="20"/>
                <w:szCs w:val="20"/>
                <w:u w:val="single"/>
              </w:rPr>
              <w:t xml:space="preserve"> </w:t>
            </w:r>
            <w:proofErr w:type="gramStart"/>
            <w:r w:rsidRPr="00307285">
              <w:rPr>
                <w:rFonts w:ascii="Times New Roman" w:hAnsi="Times New Roman" w:cs="Times New Roman"/>
                <w:b/>
                <w:color w:val="000000" w:themeColor="text1"/>
                <w:sz w:val="20"/>
                <w:szCs w:val="20"/>
                <w:u w:val="single"/>
              </w:rPr>
              <w:t xml:space="preserve">2 </w:t>
            </w:r>
            <w:proofErr w:type="spellStart"/>
            <w:r w:rsidRPr="00307285">
              <w:rPr>
                <w:rFonts w:ascii="Times New Roman" w:hAnsi="Times New Roman" w:cs="Times New Roman"/>
                <w:b/>
                <w:color w:val="000000" w:themeColor="text1"/>
                <w:sz w:val="20"/>
                <w:szCs w:val="20"/>
                <w:u w:val="single"/>
              </w:rPr>
              <w:t>nci</w:t>
            </w:r>
            <w:proofErr w:type="spellEnd"/>
            <w:proofErr w:type="gramEnd"/>
            <w:r w:rsidRPr="00307285">
              <w:rPr>
                <w:rFonts w:ascii="Times New Roman" w:hAnsi="Times New Roman" w:cs="Times New Roman"/>
                <w:b/>
                <w:color w:val="000000" w:themeColor="text1"/>
                <w:sz w:val="20"/>
                <w:szCs w:val="20"/>
                <w:u w:val="single"/>
              </w:rPr>
              <w:t xml:space="preserve"> maddesinin (a), (b) veya (ç) bentlerinde belirtilen sonuçlar elde edilemediği takdirde, model ve aynı ürün bilgisinin kapsadığı bütün model yapılandırmalarının (bu Tebliğ’in Ek-</w:t>
            </w:r>
            <w:proofErr w:type="spellStart"/>
            <w:r w:rsidRPr="00307285">
              <w:rPr>
                <w:rFonts w:ascii="Times New Roman" w:hAnsi="Times New Roman" w:cs="Times New Roman"/>
                <w:b/>
                <w:color w:val="000000" w:themeColor="text1"/>
                <w:sz w:val="20"/>
                <w:szCs w:val="20"/>
                <w:u w:val="single"/>
              </w:rPr>
              <w:t>II’sinin</w:t>
            </w:r>
            <w:proofErr w:type="spellEnd"/>
            <w:r w:rsidRPr="00307285">
              <w:rPr>
                <w:rFonts w:ascii="Times New Roman" w:hAnsi="Times New Roman" w:cs="Times New Roman"/>
                <w:b/>
                <w:color w:val="000000" w:themeColor="text1"/>
                <w:sz w:val="20"/>
                <w:szCs w:val="20"/>
                <w:u w:val="single"/>
              </w:rPr>
              <w:t xml:space="preserve"> 3.1 inci maddesinin (p) bendi) bu Tebliğe uygun olmadığı kabul edilir.</w:t>
            </w:r>
          </w:p>
          <w:p w14:paraId="384F0BBA" w14:textId="77777777" w:rsidR="00926ED7" w:rsidRPr="00EE3ADE" w:rsidRDefault="00926ED7" w:rsidP="00EE3ADE">
            <w:pPr>
              <w:pStyle w:val="Gvdemetni0"/>
              <w:numPr>
                <w:ilvl w:val="0"/>
                <w:numId w:val="6"/>
              </w:numPr>
              <w:spacing w:after="0"/>
              <w:ind w:left="426" w:hanging="426"/>
              <w:jc w:val="both"/>
              <w:rPr>
                <w:rFonts w:ascii="Times New Roman" w:hAnsi="Times New Roman" w:cs="Times New Roman"/>
                <w:color w:val="000000"/>
                <w:sz w:val="20"/>
                <w:szCs w:val="20"/>
              </w:rPr>
            </w:pPr>
            <w:r w:rsidRPr="00EE3ADE">
              <w:rPr>
                <w:rFonts w:ascii="Times New Roman" w:hAnsi="Times New Roman" w:cs="Times New Roman"/>
                <w:sz w:val="20"/>
                <w:szCs w:val="20"/>
              </w:rPr>
              <w:t xml:space="preserve">Bu </w:t>
            </w:r>
            <w:proofErr w:type="spellStart"/>
            <w:r w:rsidRPr="00EE3ADE">
              <w:rPr>
                <w:rFonts w:ascii="Times New Roman" w:hAnsi="Times New Roman" w:cs="Times New Roman"/>
                <w:sz w:val="20"/>
                <w:szCs w:val="20"/>
              </w:rPr>
              <w:t>Ek’in</w:t>
            </w:r>
            <w:proofErr w:type="spellEnd"/>
            <w:r w:rsidRPr="00EE3ADE">
              <w:rPr>
                <w:rFonts w:ascii="Times New Roman" w:hAnsi="Times New Roman" w:cs="Times New Roman"/>
                <w:sz w:val="20"/>
                <w:szCs w:val="20"/>
              </w:rPr>
              <w:t xml:space="preserve"> 2 inci maddesinin (c) bendinde belirtilen sonucun elde edilememesi halinde;</w:t>
            </w:r>
          </w:p>
          <w:p w14:paraId="4B81A47A" w14:textId="77777777" w:rsidR="00926ED7" w:rsidRPr="00EE3ADE" w:rsidRDefault="00926ED7" w:rsidP="00EE3ADE">
            <w:pPr>
              <w:pStyle w:val="Gvdemetni0"/>
              <w:numPr>
                <w:ilvl w:val="0"/>
                <w:numId w:val="7"/>
              </w:numPr>
              <w:spacing w:after="0"/>
              <w:jc w:val="both"/>
              <w:rPr>
                <w:rFonts w:ascii="Times New Roman" w:hAnsi="Times New Roman" w:cs="Times New Roman"/>
                <w:sz w:val="20"/>
                <w:szCs w:val="20"/>
              </w:rPr>
            </w:pPr>
            <w:proofErr w:type="gramStart"/>
            <w:r w:rsidRPr="00EE3ADE">
              <w:rPr>
                <w:rFonts w:ascii="Times New Roman" w:hAnsi="Times New Roman" w:cs="Times New Roman"/>
                <w:sz w:val="20"/>
                <w:szCs w:val="20"/>
              </w:rPr>
              <w:t>yılda</w:t>
            </w:r>
            <w:proofErr w:type="gramEnd"/>
            <w:r w:rsidRPr="00EE3ADE">
              <w:rPr>
                <w:rFonts w:ascii="Times New Roman" w:hAnsi="Times New Roman" w:cs="Times New Roman"/>
                <w:sz w:val="20"/>
                <w:szCs w:val="20"/>
              </w:rPr>
              <w:t xml:space="preserve"> 5 adetten daha az sayıda üretilen bir sunucu ürün ailesine ait modeller veya model yapılandırmaları için,  aynı ürün bilgisinin kapsadığı model ve bütün model yapılandırmalarının (bu Tebliğin Ek-</w:t>
            </w:r>
            <w:proofErr w:type="spellStart"/>
            <w:r w:rsidRPr="00EE3ADE">
              <w:rPr>
                <w:rFonts w:ascii="Times New Roman" w:hAnsi="Times New Roman" w:cs="Times New Roman"/>
                <w:sz w:val="20"/>
                <w:szCs w:val="20"/>
              </w:rPr>
              <w:t>II’sinin</w:t>
            </w:r>
            <w:proofErr w:type="spellEnd"/>
            <w:r w:rsidRPr="00EE3ADE">
              <w:rPr>
                <w:rFonts w:ascii="Times New Roman" w:hAnsi="Times New Roman" w:cs="Times New Roman"/>
                <w:sz w:val="20"/>
                <w:szCs w:val="20"/>
              </w:rPr>
              <w:t xml:space="preserve"> 3.1 inci maddesinin (p) bendine göre) bu Tebliğe uygun olmadığı kabul edilir.</w:t>
            </w:r>
          </w:p>
          <w:p w14:paraId="478FC838" w14:textId="77777777" w:rsidR="00926ED7" w:rsidRPr="00307285" w:rsidRDefault="00926ED7" w:rsidP="00EE3ADE">
            <w:pPr>
              <w:pStyle w:val="Gvdemetni0"/>
              <w:numPr>
                <w:ilvl w:val="0"/>
                <w:numId w:val="7"/>
              </w:numPr>
              <w:spacing w:after="0"/>
              <w:jc w:val="both"/>
              <w:rPr>
                <w:rFonts w:ascii="Times New Roman" w:hAnsi="Times New Roman" w:cs="Times New Roman"/>
                <w:b/>
                <w:sz w:val="20"/>
                <w:szCs w:val="20"/>
                <w:u w:val="single"/>
              </w:rPr>
            </w:pPr>
            <w:proofErr w:type="gramStart"/>
            <w:r w:rsidRPr="00307285">
              <w:rPr>
                <w:rFonts w:ascii="Times New Roman" w:hAnsi="Times New Roman" w:cs="Times New Roman"/>
                <w:b/>
                <w:color w:val="000000" w:themeColor="text1"/>
                <w:sz w:val="20"/>
                <w:szCs w:val="20"/>
                <w:u w:val="single"/>
              </w:rPr>
              <w:t>yılda</w:t>
            </w:r>
            <w:proofErr w:type="gramEnd"/>
            <w:r w:rsidRPr="00307285">
              <w:rPr>
                <w:rFonts w:ascii="Times New Roman" w:hAnsi="Times New Roman" w:cs="Times New Roman"/>
                <w:b/>
                <w:color w:val="000000" w:themeColor="text1"/>
                <w:sz w:val="20"/>
                <w:szCs w:val="20"/>
                <w:u w:val="single"/>
              </w:rPr>
              <w:t xml:space="preserve"> beş veya daha fazla sayıda üretilen modeller için, Bakanlık aynı modelden üç ek birim seçer veya imalatçının, ithalatçının veya yetkili temsilcinin sunucunun bir sunucu ürün ailesini temsil ettiğini beyan etmesi halinde </w:t>
            </w:r>
            <w:r w:rsidRPr="00307285">
              <w:rPr>
                <w:rFonts w:ascii="Times New Roman" w:hAnsi="Times New Roman" w:cs="Times New Roman"/>
                <w:b/>
                <w:color w:val="000000" w:themeColor="text1"/>
                <w:sz w:val="20"/>
                <w:szCs w:val="20"/>
                <w:u w:val="single"/>
              </w:rPr>
              <w:lastRenderedPageBreak/>
              <w:t>alternatif olarak hem düşük seviye performans yapılandırmasından hem de yüksek seviye performans yapılandırmasından test için birer birim seçer</w:t>
            </w:r>
            <w:r w:rsidRPr="00307285">
              <w:rPr>
                <w:rFonts w:ascii="Times New Roman" w:hAnsi="Times New Roman" w:cs="Times New Roman"/>
                <w:b/>
                <w:sz w:val="20"/>
                <w:szCs w:val="20"/>
                <w:u w:val="single"/>
              </w:rPr>
              <w:t>.</w:t>
            </w:r>
          </w:p>
          <w:p w14:paraId="7200D565" w14:textId="77777777" w:rsidR="00926ED7" w:rsidRPr="00AD089A" w:rsidRDefault="00926ED7" w:rsidP="00EE3ADE">
            <w:pPr>
              <w:pStyle w:val="Gvdemetni0"/>
              <w:numPr>
                <w:ilvl w:val="0"/>
                <w:numId w:val="6"/>
              </w:numPr>
              <w:spacing w:after="0"/>
              <w:ind w:left="426" w:hanging="426"/>
              <w:jc w:val="both"/>
              <w:rPr>
                <w:rFonts w:ascii="Times New Roman" w:hAnsi="Times New Roman" w:cs="Times New Roman"/>
                <w:b/>
                <w:sz w:val="20"/>
                <w:szCs w:val="20"/>
                <w:u w:val="single"/>
              </w:rPr>
            </w:pPr>
            <w:r w:rsidRPr="00AD089A">
              <w:rPr>
                <w:rFonts w:ascii="Times New Roman" w:hAnsi="Times New Roman" w:cs="Times New Roman"/>
                <w:b/>
                <w:sz w:val="20"/>
                <w:szCs w:val="20"/>
                <w:u w:val="single"/>
              </w:rPr>
              <w:t xml:space="preserve">Bu </w:t>
            </w:r>
            <w:proofErr w:type="spellStart"/>
            <w:r w:rsidRPr="00AD089A">
              <w:rPr>
                <w:rFonts w:ascii="Times New Roman" w:hAnsi="Times New Roman" w:cs="Times New Roman"/>
                <w:b/>
                <w:sz w:val="20"/>
                <w:szCs w:val="20"/>
                <w:u w:val="single"/>
              </w:rPr>
              <w:t>Ek’in</w:t>
            </w:r>
            <w:proofErr w:type="spellEnd"/>
            <w:r w:rsidRPr="00AD089A">
              <w:rPr>
                <w:rFonts w:ascii="Times New Roman" w:hAnsi="Times New Roman" w:cs="Times New Roman"/>
                <w:b/>
                <w:sz w:val="20"/>
                <w:szCs w:val="20"/>
                <w:u w:val="single"/>
              </w:rPr>
              <w:t xml:space="preserve"> </w:t>
            </w:r>
            <w:proofErr w:type="gramStart"/>
            <w:r w:rsidRPr="00AD089A">
              <w:rPr>
                <w:rFonts w:ascii="Times New Roman" w:hAnsi="Times New Roman" w:cs="Times New Roman"/>
                <w:b/>
                <w:sz w:val="20"/>
                <w:szCs w:val="20"/>
                <w:u w:val="single"/>
              </w:rPr>
              <w:t>4 üncü</w:t>
            </w:r>
            <w:proofErr w:type="gramEnd"/>
            <w:r w:rsidRPr="00AD089A">
              <w:rPr>
                <w:rFonts w:ascii="Times New Roman" w:hAnsi="Times New Roman" w:cs="Times New Roman"/>
                <w:b/>
                <w:sz w:val="20"/>
                <w:szCs w:val="20"/>
                <w:u w:val="single"/>
              </w:rPr>
              <w:t xml:space="preserve"> maddesinin (b) bendinde belirtilen birimler için, belirlenen değerlerin aritmetik ortalamasının Tablo 7'de verilen ilgili doğrulama toleranslarına uygun olması durumunda, model veya model yapılandırmasının uygulanabilir gerekliliklere uygun olduğu kabul edilir.</w:t>
            </w:r>
          </w:p>
          <w:p w14:paraId="250787B8" w14:textId="77777777" w:rsidR="00926ED7" w:rsidRPr="00AD089A" w:rsidRDefault="00926ED7" w:rsidP="00EE3ADE">
            <w:pPr>
              <w:pStyle w:val="Gvdemetni0"/>
              <w:numPr>
                <w:ilvl w:val="0"/>
                <w:numId w:val="6"/>
              </w:numPr>
              <w:spacing w:after="0"/>
              <w:ind w:left="426" w:hanging="426"/>
              <w:jc w:val="both"/>
              <w:rPr>
                <w:rFonts w:ascii="Times New Roman" w:hAnsi="Times New Roman" w:cs="Times New Roman"/>
                <w:b/>
                <w:sz w:val="20"/>
                <w:szCs w:val="20"/>
                <w:u w:val="single"/>
              </w:rPr>
            </w:pPr>
            <w:r w:rsidRPr="00AD089A">
              <w:rPr>
                <w:rFonts w:ascii="Times New Roman" w:hAnsi="Times New Roman" w:cs="Times New Roman"/>
                <w:b/>
                <w:sz w:val="20"/>
                <w:szCs w:val="20"/>
                <w:u w:val="single"/>
              </w:rPr>
              <w:t xml:space="preserve">Bu </w:t>
            </w:r>
            <w:proofErr w:type="spellStart"/>
            <w:r w:rsidRPr="00AD089A">
              <w:rPr>
                <w:rFonts w:ascii="Times New Roman" w:hAnsi="Times New Roman" w:cs="Times New Roman"/>
                <w:b/>
                <w:sz w:val="20"/>
                <w:szCs w:val="20"/>
                <w:u w:val="single"/>
              </w:rPr>
              <w:t>Ek’in</w:t>
            </w:r>
            <w:proofErr w:type="spellEnd"/>
            <w:r w:rsidRPr="00AD089A">
              <w:rPr>
                <w:rFonts w:ascii="Times New Roman" w:hAnsi="Times New Roman" w:cs="Times New Roman"/>
                <w:b/>
                <w:sz w:val="20"/>
                <w:szCs w:val="20"/>
                <w:u w:val="single"/>
              </w:rPr>
              <w:t xml:space="preserve"> 5 inci maddesinde belirtilen sonucun elde edilememesi </w:t>
            </w:r>
            <w:proofErr w:type="gramStart"/>
            <w:r w:rsidRPr="00AD089A">
              <w:rPr>
                <w:rFonts w:ascii="Times New Roman" w:hAnsi="Times New Roman" w:cs="Times New Roman"/>
                <w:b/>
                <w:sz w:val="20"/>
                <w:szCs w:val="20"/>
                <w:u w:val="single"/>
              </w:rPr>
              <w:t>halinde,  modelin</w:t>
            </w:r>
            <w:proofErr w:type="gramEnd"/>
            <w:r w:rsidRPr="00AD089A">
              <w:rPr>
                <w:rFonts w:ascii="Times New Roman" w:hAnsi="Times New Roman" w:cs="Times New Roman"/>
                <w:b/>
                <w:sz w:val="20"/>
                <w:szCs w:val="20"/>
                <w:u w:val="single"/>
              </w:rPr>
              <w:t xml:space="preserve"> ve aynı ürün bilgisinin kapsadığı bütün model yapılandırmalarının (Ek-</w:t>
            </w:r>
            <w:proofErr w:type="spellStart"/>
            <w:r w:rsidRPr="00AD089A">
              <w:rPr>
                <w:rFonts w:ascii="Times New Roman" w:hAnsi="Times New Roman" w:cs="Times New Roman"/>
                <w:b/>
                <w:sz w:val="20"/>
                <w:szCs w:val="20"/>
                <w:u w:val="single"/>
              </w:rPr>
              <w:t>II’nin</w:t>
            </w:r>
            <w:proofErr w:type="spellEnd"/>
            <w:r w:rsidRPr="00AD089A">
              <w:rPr>
                <w:rFonts w:ascii="Times New Roman" w:hAnsi="Times New Roman" w:cs="Times New Roman"/>
                <w:b/>
                <w:sz w:val="20"/>
                <w:szCs w:val="20"/>
                <w:u w:val="single"/>
              </w:rPr>
              <w:t xml:space="preserve"> 3.1 inci maddesinin (p) bendine göre) bu Tebliğe uygun olmadığı kabul edilir.</w:t>
            </w:r>
          </w:p>
          <w:p w14:paraId="2CEE536B" w14:textId="5F9E8094" w:rsidR="00926ED7" w:rsidRPr="00AD089A" w:rsidRDefault="00926ED7" w:rsidP="00EE3ADE">
            <w:pPr>
              <w:pStyle w:val="Gvdemetni0"/>
              <w:numPr>
                <w:ilvl w:val="0"/>
                <w:numId w:val="6"/>
              </w:numPr>
              <w:spacing w:after="0"/>
              <w:ind w:left="426" w:hanging="426"/>
              <w:jc w:val="both"/>
              <w:rPr>
                <w:rFonts w:ascii="Times New Roman" w:hAnsi="Times New Roman" w:cs="Times New Roman"/>
                <w:b/>
                <w:sz w:val="20"/>
                <w:szCs w:val="20"/>
                <w:u w:val="single"/>
              </w:rPr>
            </w:pPr>
            <w:r w:rsidRPr="00AD089A">
              <w:rPr>
                <w:rFonts w:ascii="Times New Roman" w:hAnsi="Times New Roman" w:cs="Times New Roman"/>
                <w:b/>
                <w:sz w:val="20"/>
                <w:szCs w:val="20"/>
                <w:u w:val="single"/>
              </w:rPr>
              <w:t xml:space="preserve">Bakanlık, bu </w:t>
            </w:r>
            <w:proofErr w:type="spellStart"/>
            <w:r w:rsidRPr="00AD089A">
              <w:rPr>
                <w:rFonts w:ascii="Times New Roman" w:hAnsi="Times New Roman" w:cs="Times New Roman"/>
                <w:b/>
                <w:sz w:val="20"/>
                <w:szCs w:val="20"/>
                <w:u w:val="single"/>
              </w:rPr>
              <w:t>Ek’in</w:t>
            </w:r>
            <w:proofErr w:type="spellEnd"/>
            <w:r w:rsidRPr="00AD089A">
              <w:rPr>
                <w:rFonts w:ascii="Times New Roman" w:hAnsi="Times New Roman" w:cs="Times New Roman"/>
                <w:b/>
                <w:sz w:val="20"/>
                <w:szCs w:val="20"/>
                <w:u w:val="single"/>
              </w:rPr>
              <w:t xml:space="preserve"> </w:t>
            </w:r>
            <w:proofErr w:type="gramStart"/>
            <w:r w:rsidRPr="00AD089A">
              <w:rPr>
                <w:rFonts w:ascii="Times New Roman" w:hAnsi="Times New Roman" w:cs="Times New Roman"/>
                <w:b/>
                <w:sz w:val="20"/>
                <w:szCs w:val="20"/>
                <w:u w:val="single"/>
              </w:rPr>
              <w:t>3 üncü</w:t>
            </w:r>
            <w:proofErr w:type="gramEnd"/>
            <w:r w:rsidRPr="00AD089A">
              <w:rPr>
                <w:rFonts w:ascii="Times New Roman" w:hAnsi="Times New Roman" w:cs="Times New Roman"/>
                <w:b/>
                <w:sz w:val="20"/>
                <w:szCs w:val="20"/>
                <w:u w:val="single"/>
              </w:rPr>
              <w:t xml:space="preserve"> maddesine, 4 üncü maddesinin (a) bendine, 6 </w:t>
            </w:r>
            <w:proofErr w:type="spellStart"/>
            <w:r w:rsidRPr="00AD089A">
              <w:rPr>
                <w:rFonts w:ascii="Times New Roman" w:hAnsi="Times New Roman" w:cs="Times New Roman"/>
                <w:b/>
                <w:sz w:val="20"/>
                <w:szCs w:val="20"/>
                <w:u w:val="single"/>
              </w:rPr>
              <w:t>ncı</w:t>
            </w:r>
            <w:proofErr w:type="spellEnd"/>
            <w:r w:rsidRPr="00AD089A">
              <w:rPr>
                <w:rFonts w:ascii="Times New Roman" w:hAnsi="Times New Roman" w:cs="Times New Roman"/>
                <w:b/>
                <w:sz w:val="20"/>
                <w:szCs w:val="20"/>
                <w:u w:val="single"/>
              </w:rPr>
              <w:t xml:space="preserve"> maddesine veya bu </w:t>
            </w:r>
            <w:proofErr w:type="spellStart"/>
            <w:r w:rsidRPr="00AD089A">
              <w:rPr>
                <w:rFonts w:ascii="Times New Roman" w:hAnsi="Times New Roman" w:cs="Times New Roman"/>
                <w:b/>
                <w:sz w:val="20"/>
                <w:szCs w:val="20"/>
                <w:u w:val="single"/>
              </w:rPr>
              <w:t>Ek’in</w:t>
            </w:r>
            <w:proofErr w:type="spellEnd"/>
            <w:r w:rsidRPr="00AD089A">
              <w:rPr>
                <w:rFonts w:ascii="Times New Roman" w:hAnsi="Times New Roman" w:cs="Times New Roman"/>
                <w:b/>
                <w:sz w:val="20"/>
                <w:szCs w:val="20"/>
                <w:u w:val="single"/>
              </w:rPr>
              <w:t xml:space="preserve"> ikinci paragrafına göre modelin uygunsuzluğuna dair karar alınmasından sonra gecikmeksizin, Avrupa Komisyonuna ve </w:t>
            </w:r>
            <w:r w:rsidR="007E7C0D">
              <w:rPr>
                <w:rFonts w:ascii="Times New Roman" w:hAnsi="Times New Roman" w:cs="Times New Roman"/>
                <w:b/>
                <w:sz w:val="20"/>
                <w:szCs w:val="20"/>
                <w:u w:val="single"/>
              </w:rPr>
              <w:t xml:space="preserve">AB </w:t>
            </w:r>
            <w:r w:rsidRPr="00AD089A">
              <w:rPr>
                <w:rFonts w:ascii="Times New Roman" w:hAnsi="Times New Roman" w:cs="Times New Roman"/>
                <w:b/>
                <w:sz w:val="20"/>
                <w:szCs w:val="20"/>
                <w:u w:val="single"/>
              </w:rPr>
              <w:t>Üye</w:t>
            </w:r>
            <w:r w:rsidR="007E7C0D">
              <w:rPr>
                <w:rFonts w:ascii="Times New Roman" w:hAnsi="Times New Roman" w:cs="Times New Roman"/>
                <w:b/>
                <w:sz w:val="20"/>
                <w:szCs w:val="20"/>
                <w:u w:val="single"/>
              </w:rPr>
              <w:t>si</w:t>
            </w:r>
            <w:r w:rsidRPr="00AD089A">
              <w:rPr>
                <w:rFonts w:ascii="Times New Roman" w:hAnsi="Times New Roman" w:cs="Times New Roman"/>
                <w:b/>
                <w:sz w:val="20"/>
                <w:szCs w:val="20"/>
                <w:u w:val="single"/>
              </w:rPr>
              <w:t xml:space="preserve"> Ülkelerin ilgili otoritelerine ilgili tüm bilgileri sağlar.</w:t>
            </w:r>
          </w:p>
          <w:p w14:paraId="4E0304D7" w14:textId="77777777" w:rsidR="00926ED7" w:rsidRPr="00EE3ADE" w:rsidRDefault="00926ED7" w:rsidP="00926ED7">
            <w:pPr>
              <w:pStyle w:val="Gvdemetni0"/>
              <w:spacing w:after="0"/>
              <w:ind w:left="426"/>
              <w:jc w:val="both"/>
              <w:rPr>
                <w:rFonts w:ascii="Times New Roman" w:hAnsi="Times New Roman" w:cs="Times New Roman"/>
                <w:sz w:val="20"/>
                <w:szCs w:val="20"/>
              </w:rPr>
            </w:pPr>
            <w:r w:rsidRPr="00EE3ADE">
              <w:rPr>
                <w:rFonts w:ascii="Times New Roman" w:hAnsi="Times New Roman" w:cs="Times New Roman"/>
                <w:color w:val="000000"/>
                <w:sz w:val="20"/>
                <w:szCs w:val="20"/>
              </w:rPr>
              <w:t xml:space="preserve">Bakanlık Ek- </w:t>
            </w:r>
            <w:proofErr w:type="spellStart"/>
            <w:r w:rsidRPr="00EE3ADE">
              <w:rPr>
                <w:rFonts w:ascii="Times New Roman" w:hAnsi="Times New Roman" w:cs="Times New Roman"/>
                <w:color w:val="000000"/>
                <w:sz w:val="20"/>
                <w:szCs w:val="20"/>
              </w:rPr>
              <w:t>III’te</w:t>
            </w:r>
            <w:proofErr w:type="spellEnd"/>
            <w:r w:rsidRPr="00EE3ADE">
              <w:rPr>
                <w:rFonts w:ascii="Times New Roman" w:hAnsi="Times New Roman" w:cs="Times New Roman"/>
                <w:color w:val="000000"/>
                <w:sz w:val="20"/>
                <w:szCs w:val="20"/>
              </w:rPr>
              <w:t xml:space="preserve"> belirtilen ölçüm ve hesaplama yöntemlerini kullanır.</w:t>
            </w:r>
          </w:p>
          <w:p w14:paraId="64DD8531" w14:textId="77777777" w:rsidR="00926ED7" w:rsidRPr="00EE3ADE" w:rsidRDefault="00926ED7" w:rsidP="00926ED7">
            <w:pPr>
              <w:pStyle w:val="Gvdemetni0"/>
              <w:spacing w:after="0"/>
              <w:ind w:left="426"/>
              <w:jc w:val="both"/>
              <w:rPr>
                <w:rFonts w:ascii="Times New Roman" w:hAnsi="Times New Roman" w:cs="Times New Roman"/>
                <w:sz w:val="20"/>
                <w:szCs w:val="20"/>
              </w:rPr>
            </w:pPr>
            <w:r w:rsidRPr="00EE3ADE">
              <w:rPr>
                <w:rFonts w:ascii="Times New Roman" w:hAnsi="Times New Roman" w:cs="Times New Roman"/>
                <w:color w:val="000000"/>
                <w:sz w:val="20"/>
                <w:szCs w:val="20"/>
              </w:rPr>
              <w:t xml:space="preserve">Bakanlık sadece bu </w:t>
            </w:r>
            <w:proofErr w:type="spellStart"/>
            <w:r w:rsidRPr="00EE3ADE">
              <w:rPr>
                <w:rFonts w:ascii="Times New Roman" w:hAnsi="Times New Roman" w:cs="Times New Roman"/>
                <w:color w:val="000000"/>
                <w:sz w:val="20"/>
                <w:szCs w:val="20"/>
              </w:rPr>
              <w:t>Ek’in</w:t>
            </w:r>
            <w:proofErr w:type="spellEnd"/>
            <w:r w:rsidRPr="00EE3ADE">
              <w:rPr>
                <w:rFonts w:ascii="Times New Roman" w:hAnsi="Times New Roman" w:cs="Times New Roman"/>
                <w:color w:val="000000"/>
                <w:sz w:val="20"/>
                <w:szCs w:val="20"/>
              </w:rPr>
              <w:t xml:space="preserve"> Tablo 7’sinde yer alan doğrulama toleranslarını uygular ve bu </w:t>
            </w:r>
            <w:proofErr w:type="spellStart"/>
            <w:r w:rsidRPr="00EE3ADE">
              <w:rPr>
                <w:rFonts w:ascii="Times New Roman" w:hAnsi="Times New Roman" w:cs="Times New Roman"/>
                <w:color w:val="000000"/>
                <w:sz w:val="20"/>
                <w:szCs w:val="20"/>
              </w:rPr>
              <w:t>Ek’te</w:t>
            </w:r>
            <w:proofErr w:type="spellEnd"/>
            <w:r w:rsidRPr="00EE3ADE">
              <w:rPr>
                <w:rFonts w:ascii="Times New Roman" w:hAnsi="Times New Roman" w:cs="Times New Roman"/>
                <w:color w:val="000000"/>
                <w:sz w:val="20"/>
                <w:szCs w:val="20"/>
              </w:rPr>
              <w:t xml:space="preserve"> belirtilen gereklilikler için sadece 1 ila </w:t>
            </w:r>
            <w:proofErr w:type="gramStart"/>
            <w:r w:rsidRPr="00EE3ADE">
              <w:rPr>
                <w:rFonts w:ascii="Times New Roman" w:hAnsi="Times New Roman" w:cs="Times New Roman"/>
                <w:color w:val="000000"/>
                <w:sz w:val="20"/>
                <w:szCs w:val="20"/>
              </w:rPr>
              <w:t xml:space="preserve">7 </w:t>
            </w:r>
            <w:proofErr w:type="spellStart"/>
            <w:r w:rsidRPr="00EE3ADE">
              <w:rPr>
                <w:rFonts w:ascii="Times New Roman" w:hAnsi="Times New Roman" w:cs="Times New Roman"/>
                <w:color w:val="000000"/>
                <w:sz w:val="20"/>
                <w:szCs w:val="20"/>
              </w:rPr>
              <w:t>nci</w:t>
            </w:r>
            <w:proofErr w:type="spellEnd"/>
            <w:proofErr w:type="gramEnd"/>
            <w:r w:rsidRPr="00EE3ADE">
              <w:rPr>
                <w:rFonts w:ascii="Times New Roman" w:hAnsi="Times New Roman" w:cs="Times New Roman"/>
                <w:color w:val="000000"/>
                <w:sz w:val="20"/>
                <w:szCs w:val="20"/>
              </w:rPr>
              <w:t xml:space="preserve"> maddelerde tanımlanan yöntemi kullanır.  Diğer herhangi bir tolerans uygulanmaz.</w:t>
            </w:r>
          </w:p>
          <w:p w14:paraId="214BA7E2" w14:textId="77777777" w:rsidR="00926ED7" w:rsidRPr="00EE3ADE" w:rsidRDefault="00926ED7" w:rsidP="00926ED7">
            <w:pPr>
              <w:pStyle w:val="ResimYazs"/>
              <w:keepNext/>
              <w:jc w:val="center"/>
              <w:rPr>
                <w:i w:val="0"/>
                <w:color w:val="auto"/>
                <w:sz w:val="20"/>
                <w:szCs w:val="20"/>
              </w:rPr>
            </w:pPr>
            <w:r w:rsidRPr="00EE3ADE">
              <w:rPr>
                <w:i w:val="0"/>
                <w:color w:val="auto"/>
                <w:sz w:val="20"/>
                <w:szCs w:val="20"/>
              </w:rPr>
              <w:t xml:space="preserve">Tablo </w:t>
            </w:r>
            <w:r w:rsidRPr="00EE3ADE">
              <w:rPr>
                <w:i w:val="0"/>
                <w:color w:val="auto"/>
                <w:sz w:val="20"/>
                <w:szCs w:val="20"/>
              </w:rPr>
              <w:fldChar w:fldCharType="begin"/>
            </w:r>
            <w:r w:rsidRPr="00EE3ADE">
              <w:rPr>
                <w:i w:val="0"/>
                <w:color w:val="auto"/>
                <w:sz w:val="20"/>
                <w:szCs w:val="20"/>
              </w:rPr>
              <w:instrText xml:space="preserve"> SEQ Tablo \* ARABIC </w:instrText>
            </w:r>
            <w:r w:rsidRPr="00EE3ADE">
              <w:rPr>
                <w:i w:val="0"/>
                <w:color w:val="auto"/>
                <w:sz w:val="20"/>
                <w:szCs w:val="20"/>
              </w:rPr>
              <w:fldChar w:fldCharType="separate"/>
            </w:r>
            <w:r w:rsidRPr="00EE3ADE">
              <w:rPr>
                <w:i w:val="0"/>
                <w:noProof/>
                <w:color w:val="auto"/>
                <w:sz w:val="20"/>
                <w:szCs w:val="20"/>
              </w:rPr>
              <w:t>7</w:t>
            </w:r>
            <w:r w:rsidRPr="00EE3ADE">
              <w:rPr>
                <w:i w:val="0"/>
                <w:color w:val="auto"/>
                <w:sz w:val="20"/>
                <w:szCs w:val="20"/>
              </w:rPr>
              <w:fldChar w:fldCharType="end"/>
            </w:r>
            <w:r w:rsidRPr="00EE3ADE">
              <w:rPr>
                <w:i w:val="0"/>
                <w:color w:val="auto"/>
                <w:sz w:val="20"/>
                <w:szCs w:val="20"/>
              </w:rPr>
              <w:br/>
            </w:r>
            <w:r w:rsidRPr="00EE3ADE">
              <w:rPr>
                <w:b/>
                <w:i w:val="0"/>
                <w:color w:val="auto"/>
                <w:sz w:val="20"/>
                <w:szCs w:val="20"/>
              </w:rPr>
              <w:t>Doğrulama Toleransları</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1742"/>
              <w:gridCol w:w="2573"/>
            </w:tblGrid>
            <w:tr w:rsidR="00926ED7" w:rsidRPr="00EE3ADE" w14:paraId="3F0A9DBA" w14:textId="77777777" w:rsidTr="007956B5">
              <w:trPr>
                <w:trHeight w:val="567"/>
                <w:jc w:val="center"/>
              </w:trPr>
              <w:tc>
                <w:tcPr>
                  <w:tcW w:w="2019" w:type="pct"/>
                  <w:tcBorders>
                    <w:top w:val="single" w:sz="4" w:space="0" w:color="auto"/>
                  </w:tcBorders>
                  <w:shd w:val="clear" w:color="auto" w:fill="FFFFFF"/>
                  <w:vAlign w:val="center"/>
                </w:tcPr>
                <w:p w14:paraId="6E743EF9" w14:textId="77777777" w:rsidR="00926ED7" w:rsidRPr="00EE3ADE" w:rsidRDefault="00926ED7" w:rsidP="00926ED7">
                  <w:pPr>
                    <w:pStyle w:val="Dier0"/>
                    <w:spacing w:after="0"/>
                    <w:jc w:val="center"/>
                    <w:rPr>
                      <w:rFonts w:ascii="Times New Roman" w:hAnsi="Times New Roman" w:cs="Times New Roman"/>
                      <w:sz w:val="20"/>
                      <w:szCs w:val="20"/>
                    </w:rPr>
                  </w:pPr>
                  <w:r w:rsidRPr="00EE3ADE">
                    <w:rPr>
                      <w:rFonts w:ascii="Times New Roman" w:hAnsi="Times New Roman" w:cs="Times New Roman"/>
                      <w:color w:val="000000"/>
                      <w:sz w:val="20"/>
                      <w:szCs w:val="20"/>
                    </w:rPr>
                    <w:t>Parametreler</w:t>
                  </w:r>
                </w:p>
              </w:tc>
              <w:tc>
                <w:tcPr>
                  <w:tcW w:w="2981" w:type="pct"/>
                  <w:tcBorders>
                    <w:top w:val="single" w:sz="4" w:space="0" w:color="auto"/>
                    <w:left w:val="single" w:sz="4" w:space="0" w:color="auto"/>
                  </w:tcBorders>
                  <w:shd w:val="clear" w:color="auto" w:fill="FFFFFF"/>
                  <w:vAlign w:val="center"/>
                </w:tcPr>
                <w:p w14:paraId="7CA0C74C" w14:textId="77777777" w:rsidR="00926ED7" w:rsidRPr="00EE3ADE" w:rsidRDefault="00926ED7" w:rsidP="00926ED7">
                  <w:pPr>
                    <w:pStyle w:val="Dier0"/>
                    <w:spacing w:after="0"/>
                    <w:jc w:val="center"/>
                    <w:rPr>
                      <w:rFonts w:ascii="Times New Roman" w:hAnsi="Times New Roman" w:cs="Times New Roman"/>
                      <w:sz w:val="20"/>
                      <w:szCs w:val="20"/>
                    </w:rPr>
                  </w:pPr>
                  <w:r w:rsidRPr="00EE3ADE">
                    <w:rPr>
                      <w:rFonts w:ascii="Times New Roman" w:hAnsi="Times New Roman" w:cs="Times New Roman"/>
                      <w:color w:val="000000"/>
                      <w:sz w:val="20"/>
                      <w:szCs w:val="20"/>
                    </w:rPr>
                    <w:t>Doğrulama toleransları</w:t>
                  </w:r>
                </w:p>
              </w:tc>
            </w:tr>
            <w:tr w:rsidR="00926ED7" w:rsidRPr="00EE3ADE" w14:paraId="3DB42153" w14:textId="77777777" w:rsidTr="007956B5">
              <w:trPr>
                <w:trHeight w:val="567"/>
                <w:jc w:val="center"/>
              </w:trPr>
              <w:tc>
                <w:tcPr>
                  <w:tcW w:w="2019" w:type="pct"/>
                  <w:tcBorders>
                    <w:top w:val="single" w:sz="4" w:space="0" w:color="auto"/>
                  </w:tcBorders>
                  <w:shd w:val="clear" w:color="auto" w:fill="FFFFFF"/>
                  <w:vAlign w:val="center"/>
                </w:tcPr>
                <w:p w14:paraId="1551D0CC" w14:textId="77777777" w:rsidR="00926ED7" w:rsidRPr="00EE3ADE" w:rsidRDefault="00926ED7" w:rsidP="00926ED7">
                  <w:pPr>
                    <w:pStyle w:val="Dier0"/>
                    <w:spacing w:after="0"/>
                    <w:rPr>
                      <w:rFonts w:ascii="Times New Roman" w:hAnsi="Times New Roman" w:cs="Times New Roman"/>
                      <w:sz w:val="20"/>
                      <w:szCs w:val="20"/>
                    </w:rPr>
                  </w:pPr>
                  <w:r w:rsidRPr="00EE3ADE">
                    <w:rPr>
                      <w:rFonts w:ascii="Times New Roman" w:hAnsi="Times New Roman" w:cs="Times New Roman"/>
                      <w:color w:val="000000"/>
                      <w:sz w:val="20"/>
                      <w:szCs w:val="20"/>
                    </w:rPr>
                    <w:t>PSU verimliliği (%)</w:t>
                  </w:r>
                </w:p>
              </w:tc>
              <w:tc>
                <w:tcPr>
                  <w:tcW w:w="2981" w:type="pct"/>
                  <w:tcBorders>
                    <w:top w:val="single" w:sz="4" w:space="0" w:color="auto"/>
                    <w:left w:val="single" w:sz="4" w:space="0" w:color="auto"/>
                  </w:tcBorders>
                  <w:shd w:val="clear" w:color="auto" w:fill="FFFFFF"/>
                  <w:vAlign w:val="center"/>
                </w:tcPr>
                <w:p w14:paraId="7EC3EEFB" w14:textId="77777777" w:rsidR="00926ED7" w:rsidRPr="00EE3ADE" w:rsidRDefault="00926ED7" w:rsidP="00926ED7">
                  <w:pPr>
                    <w:pStyle w:val="Dier0"/>
                    <w:spacing w:after="0"/>
                    <w:rPr>
                      <w:rFonts w:ascii="Times New Roman" w:hAnsi="Times New Roman" w:cs="Times New Roman"/>
                      <w:sz w:val="20"/>
                      <w:szCs w:val="20"/>
                    </w:rPr>
                  </w:pPr>
                  <w:r w:rsidRPr="00EE3ADE">
                    <w:rPr>
                      <w:rFonts w:ascii="Times New Roman" w:hAnsi="Times New Roman" w:cs="Times New Roman"/>
                      <w:color w:val="000000"/>
                      <w:sz w:val="20"/>
                      <w:szCs w:val="20"/>
                    </w:rPr>
                    <w:t xml:space="preserve">Belirlenen değer beyan edilen değerin </w:t>
                  </w:r>
                  <w:proofErr w:type="gramStart"/>
                  <w:r w:rsidRPr="00EE3ADE">
                    <w:rPr>
                      <w:rFonts w:ascii="Times New Roman" w:hAnsi="Times New Roman" w:cs="Times New Roman"/>
                      <w:color w:val="000000"/>
                      <w:sz w:val="20"/>
                      <w:szCs w:val="20"/>
                    </w:rPr>
                    <w:t>% 2</w:t>
                  </w:r>
                  <w:proofErr w:type="gramEnd"/>
                  <w:r w:rsidRPr="00EE3ADE">
                    <w:rPr>
                      <w:rFonts w:ascii="Times New Roman" w:hAnsi="Times New Roman" w:cs="Times New Roman"/>
                      <w:color w:val="000000"/>
                      <w:sz w:val="20"/>
                      <w:szCs w:val="20"/>
                    </w:rPr>
                    <w:t>'sinden daha az olamaz.</w:t>
                  </w:r>
                </w:p>
              </w:tc>
            </w:tr>
            <w:tr w:rsidR="00926ED7" w:rsidRPr="00EE3ADE" w14:paraId="2C28A424" w14:textId="77777777" w:rsidTr="007956B5">
              <w:trPr>
                <w:trHeight w:val="567"/>
                <w:jc w:val="center"/>
              </w:trPr>
              <w:tc>
                <w:tcPr>
                  <w:tcW w:w="2019" w:type="pct"/>
                  <w:tcBorders>
                    <w:top w:val="single" w:sz="4" w:space="0" w:color="auto"/>
                  </w:tcBorders>
                  <w:shd w:val="clear" w:color="auto" w:fill="FFFFFF"/>
                  <w:vAlign w:val="center"/>
                </w:tcPr>
                <w:p w14:paraId="426F36A8" w14:textId="77777777" w:rsidR="00926ED7" w:rsidRPr="00EE3ADE" w:rsidRDefault="00926ED7" w:rsidP="00926ED7">
                  <w:pPr>
                    <w:pStyle w:val="Dier0"/>
                    <w:spacing w:after="0"/>
                    <w:rPr>
                      <w:rFonts w:ascii="Times New Roman" w:hAnsi="Times New Roman" w:cs="Times New Roman"/>
                      <w:sz w:val="20"/>
                      <w:szCs w:val="20"/>
                    </w:rPr>
                  </w:pPr>
                  <w:r w:rsidRPr="00EE3ADE">
                    <w:rPr>
                      <w:rFonts w:ascii="Times New Roman" w:hAnsi="Times New Roman" w:cs="Times New Roman"/>
                      <w:color w:val="000000"/>
                      <w:sz w:val="20"/>
                      <w:szCs w:val="20"/>
                    </w:rPr>
                    <w:t>Güç faktörü</w:t>
                  </w:r>
                </w:p>
              </w:tc>
              <w:tc>
                <w:tcPr>
                  <w:tcW w:w="2981" w:type="pct"/>
                  <w:tcBorders>
                    <w:top w:val="single" w:sz="4" w:space="0" w:color="auto"/>
                    <w:left w:val="single" w:sz="4" w:space="0" w:color="auto"/>
                  </w:tcBorders>
                  <w:shd w:val="clear" w:color="auto" w:fill="FFFFFF"/>
                  <w:vAlign w:val="center"/>
                </w:tcPr>
                <w:p w14:paraId="3F90AC23" w14:textId="77777777" w:rsidR="00926ED7" w:rsidRPr="00EE3ADE" w:rsidRDefault="00926ED7" w:rsidP="00926ED7">
                  <w:pPr>
                    <w:pStyle w:val="Dier0"/>
                    <w:spacing w:after="0"/>
                    <w:rPr>
                      <w:rFonts w:ascii="Times New Roman" w:hAnsi="Times New Roman" w:cs="Times New Roman"/>
                      <w:sz w:val="20"/>
                      <w:szCs w:val="20"/>
                    </w:rPr>
                  </w:pPr>
                  <w:r w:rsidRPr="00EE3ADE">
                    <w:rPr>
                      <w:rFonts w:ascii="Times New Roman" w:hAnsi="Times New Roman" w:cs="Times New Roman"/>
                      <w:color w:val="000000"/>
                      <w:sz w:val="20"/>
                      <w:szCs w:val="20"/>
                    </w:rPr>
                    <w:t>Belirlenen değer beyan edilen değerin %10’undan daha az olamaz.</w:t>
                  </w:r>
                </w:p>
              </w:tc>
            </w:tr>
            <w:tr w:rsidR="00926ED7" w:rsidRPr="00EE3ADE" w14:paraId="2E123C8D" w14:textId="77777777" w:rsidTr="007956B5">
              <w:trPr>
                <w:trHeight w:val="567"/>
                <w:jc w:val="center"/>
              </w:trPr>
              <w:tc>
                <w:tcPr>
                  <w:tcW w:w="2019" w:type="pct"/>
                  <w:tcBorders>
                    <w:top w:val="single" w:sz="4" w:space="0" w:color="auto"/>
                  </w:tcBorders>
                  <w:shd w:val="clear" w:color="auto" w:fill="FFFFFF"/>
                  <w:vAlign w:val="center"/>
                </w:tcPr>
                <w:p w14:paraId="2E2DC25C" w14:textId="77777777" w:rsidR="00926ED7" w:rsidRPr="00EE3ADE" w:rsidRDefault="00926ED7" w:rsidP="00926ED7">
                  <w:pPr>
                    <w:pStyle w:val="Dier0"/>
                    <w:spacing w:after="0"/>
                    <w:rPr>
                      <w:rFonts w:ascii="Times New Roman" w:hAnsi="Times New Roman" w:cs="Times New Roman"/>
                      <w:sz w:val="20"/>
                      <w:szCs w:val="20"/>
                    </w:rPr>
                  </w:pPr>
                  <w:r w:rsidRPr="00EE3ADE">
                    <w:rPr>
                      <w:rFonts w:ascii="Times New Roman" w:hAnsi="Times New Roman" w:cs="Times New Roman"/>
                      <w:color w:val="000000"/>
                      <w:sz w:val="20"/>
                      <w:szCs w:val="20"/>
                    </w:rPr>
                    <w:t xml:space="preserve">İşlevsiz durum gücü </w:t>
                  </w:r>
                  <w:proofErr w:type="spellStart"/>
                  <w:r w:rsidRPr="00EE3ADE">
                    <w:rPr>
                      <w:rFonts w:ascii="Times New Roman" w:hAnsi="Times New Roman" w:cs="Times New Roman"/>
                      <w:color w:val="000000"/>
                      <w:sz w:val="20"/>
                      <w:szCs w:val="20"/>
                    </w:rPr>
                    <w:t>P</w:t>
                  </w:r>
                  <w:r w:rsidRPr="00EE3ADE">
                    <w:rPr>
                      <w:rFonts w:ascii="Times New Roman" w:hAnsi="Times New Roman" w:cs="Times New Roman"/>
                      <w:color w:val="000000"/>
                      <w:sz w:val="20"/>
                      <w:szCs w:val="20"/>
                      <w:vertAlign w:val="subscript"/>
                    </w:rPr>
                    <w:t>idle</w:t>
                  </w:r>
                  <w:proofErr w:type="spellEnd"/>
                  <w:r w:rsidRPr="00EE3ADE">
                    <w:rPr>
                      <w:rFonts w:ascii="Times New Roman" w:hAnsi="Times New Roman" w:cs="Times New Roman"/>
                      <w:color w:val="000000"/>
                      <w:sz w:val="20"/>
                      <w:szCs w:val="20"/>
                    </w:rPr>
                    <w:t xml:space="preserve"> ve azami güç (W)</w:t>
                  </w:r>
                </w:p>
              </w:tc>
              <w:tc>
                <w:tcPr>
                  <w:tcW w:w="2981" w:type="pct"/>
                  <w:tcBorders>
                    <w:top w:val="single" w:sz="4" w:space="0" w:color="auto"/>
                    <w:left w:val="single" w:sz="4" w:space="0" w:color="auto"/>
                  </w:tcBorders>
                  <w:shd w:val="clear" w:color="auto" w:fill="FFFFFF"/>
                  <w:vAlign w:val="center"/>
                </w:tcPr>
                <w:p w14:paraId="2C860FA0" w14:textId="77777777" w:rsidR="00926ED7" w:rsidRPr="00EE3ADE" w:rsidRDefault="00926ED7" w:rsidP="00926ED7">
                  <w:pPr>
                    <w:pStyle w:val="Dier0"/>
                    <w:spacing w:after="0"/>
                    <w:rPr>
                      <w:rFonts w:ascii="Times New Roman" w:hAnsi="Times New Roman" w:cs="Times New Roman"/>
                      <w:sz w:val="20"/>
                      <w:szCs w:val="20"/>
                    </w:rPr>
                  </w:pPr>
                  <w:r w:rsidRPr="00EE3ADE">
                    <w:rPr>
                      <w:rFonts w:ascii="Times New Roman" w:hAnsi="Times New Roman" w:cs="Times New Roman"/>
                      <w:color w:val="000000"/>
                      <w:sz w:val="20"/>
                      <w:szCs w:val="20"/>
                    </w:rPr>
                    <w:t>Belirlenen değer beyan edilen değeri %10’dan daha fazla aşamaz.</w:t>
                  </w:r>
                </w:p>
              </w:tc>
            </w:tr>
            <w:tr w:rsidR="00926ED7" w:rsidRPr="00EE3ADE" w14:paraId="4B1F0A3D" w14:textId="77777777" w:rsidTr="007956B5">
              <w:trPr>
                <w:trHeight w:val="567"/>
                <w:jc w:val="center"/>
              </w:trPr>
              <w:tc>
                <w:tcPr>
                  <w:tcW w:w="2019" w:type="pct"/>
                  <w:tcBorders>
                    <w:top w:val="single" w:sz="4" w:space="0" w:color="auto"/>
                    <w:bottom w:val="single" w:sz="4" w:space="0" w:color="auto"/>
                  </w:tcBorders>
                  <w:shd w:val="clear" w:color="auto" w:fill="FFFFFF"/>
                  <w:vAlign w:val="center"/>
                </w:tcPr>
                <w:p w14:paraId="0CA9B562" w14:textId="77777777" w:rsidR="00926ED7" w:rsidRPr="00EE3ADE" w:rsidRDefault="00926ED7" w:rsidP="00926ED7">
                  <w:pPr>
                    <w:pStyle w:val="Dier0"/>
                    <w:spacing w:after="0"/>
                    <w:rPr>
                      <w:rFonts w:ascii="Times New Roman" w:hAnsi="Times New Roman" w:cs="Times New Roman"/>
                      <w:sz w:val="20"/>
                      <w:szCs w:val="20"/>
                    </w:rPr>
                  </w:pPr>
                  <w:r w:rsidRPr="00EE3ADE">
                    <w:rPr>
                      <w:rFonts w:ascii="Times New Roman" w:hAnsi="Times New Roman" w:cs="Times New Roman"/>
                      <w:color w:val="000000"/>
                      <w:sz w:val="20"/>
                      <w:szCs w:val="20"/>
                    </w:rPr>
                    <w:t>Etkin konum verimliliği ve etkin konum performansı</w:t>
                  </w:r>
                </w:p>
              </w:tc>
              <w:tc>
                <w:tcPr>
                  <w:tcW w:w="2981" w:type="pct"/>
                  <w:tcBorders>
                    <w:top w:val="single" w:sz="4" w:space="0" w:color="auto"/>
                    <w:left w:val="single" w:sz="4" w:space="0" w:color="auto"/>
                    <w:bottom w:val="single" w:sz="4" w:space="0" w:color="auto"/>
                  </w:tcBorders>
                  <w:shd w:val="clear" w:color="auto" w:fill="FFFFFF"/>
                  <w:vAlign w:val="center"/>
                </w:tcPr>
                <w:p w14:paraId="65A02101" w14:textId="77777777" w:rsidR="00926ED7" w:rsidRPr="00EE3ADE" w:rsidRDefault="00926ED7" w:rsidP="00926ED7">
                  <w:pPr>
                    <w:pStyle w:val="Dier0"/>
                    <w:spacing w:after="0"/>
                    <w:rPr>
                      <w:rFonts w:ascii="Times New Roman" w:hAnsi="Times New Roman" w:cs="Times New Roman"/>
                      <w:sz w:val="20"/>
                      <w:szCs w:val="20"/>
                    </w:rPr>
                  </w:pPr>
                  <w:r w:rsidRPr="00EE3ADE">
                    <w:rPr>
                      <w:rFonts w:ascii="Times New Roman" w:hAnsi="Times New Roman" w:cs="Times New Roman"/>
                      <w:color w:val="000000"/>
                      <w:sz w:val="20"/>
                      <w:szCs w:val="20"/>
                    </w:rPr>
                    <w:t>Belirlenen değer beyan edilen değerin %10’undan daha az olamaz.</w:t>
                  </w:r>
                </w:p>
              </w:tc>
            </w:tr>
          </w:tbl>
          <w:p w14:paraId="00D8AF10" w14:textId="77777777" w:rsidR="00926ED7" w:rsidRPr="008E17D6" w:rsidRDefault="00926ED7" w:rsidP="00926ED7">
            <w:pPr>
              <w:rPr>
                <w:rFonts w:ascii="Times New Roman" w:hAnsi="Times New Roman" w:cs="Times New Roman"/>
                <w:sz w:val="24"/>
                <w:szCs w:val="24"/>
              </w:rPr>
            </w:pPr>
            <w:r>
              <w:rPr>
                <w:rFonts w:ascii="Times New Roman" w:hAnsi="Times New Roman" w:cs="Times New Roman"/>
                <w:sz w:val="24"/>
                <w:szCs w:val="24"/>
              </w:rPr>
              <w:t>”</w:t>
            </w:r>
          </w:p>
          <w:p w14:paraId="65B20DE1" w14:textId="47A3A233" w:rsidR="00926ED7" w:rsidRPr="008A30A9" w:rsidRDefault="00926ED7" w:rsidP="00D52EC8">
            <w:pPr>
              <w:rPr>
                <w:rFonts w:ascii="Times New Roman" w:hAnsi="Times New Roman" w:cs="Times New Roman"/>
              </w:rPr>
            </w:pPr>
          </w:p>
        </w:tc>
      </w:tr>
    </w:tbl>
    <w:p w14:paraId="35E6DE1F" w14:textId="77777777" w:rsidR="00912BA9" w:rsidRDefault="00912BA9" w:rsidP="00002353">
      <w:pPr>
        <w:spacing w:after="0" w:line="240" w:lineRule="auto"/>
        <w:rPr>
          <w:rFonts w:ascii="Times New Roman" w:hAnsi="Times New Roman" w:cs="Times New Roman"/>
          <w:sz w:val="24"/>
          <w:szCs w:val="24"/>
        </w:rPr>
      </w:pPr>
    </w:p>
    <w:sectPr w:rsidR="00912BA9">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44625" w16cex:dateUtc="2021-10-03T12:09:00Z"/>
  <w16cex:commentExtensible w16cex:durableId="250449E2" w16cex:dateUtc="2021-10-03T1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33C61" w14:textId="77777777" w:rsidR="003471E1" w:rsidRDefault="003471E1" w:rsidP="00EE4C35">
      <w:pPr>
        <w:spacing w:after="0" w:line="240" w:lineRule="auto"/>
      </w:pPr>
      <w:r>
        <w:separator/>
      </w:r>
    </w:p>
  </w:endnote>
  <w:endnote w:type="continuationSeparator" w:id="0">
    <w:p w14:paraId="34EEC6F8" w14:textId="77777777" w:rsidR="003471E1" w:rsidRDefault="003471E1" w:rsidP="00EE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904833"/>
      <w:docPartObj>
        <w:docPartGallery w:val="Page Numbers (Bottom of Page)"/>
        <w:docPartUnique/>
      </w:docPartObj>
    </w:sdtPr>
    <w:sdtEndPr/>
    <w:sdtContent>
      <w:p w14:paraId="461141E0" w14:textId="2081FEF4" w:rsidR="00EE4C35" w:rsidRDefault="00EE4C35">
        <w:pPr>
          <w:pStyle w:val="AltBilgi"/>
          <w:jc w:val="center"/>
        </w:pPr>
        <w:r>
          <w:fldChar w:fldCharType="begin"/>
        </w:r>
        <w:r>
          <w:instrText>PAGE   \* MERGEFORMAT</w:instrText>
        </w:r>
        <w:r>
          <w:fldChar w:fldCharType="separate"/>
        </w:r>
        <w:r>
          <w:t>2</w:t>
        </w:r>
        <w:r>
          <w:fldChar w:fldCharType="end"/>
        </w:r>
      </w:p>
    </w:sdtContent>
  </w:sdt>
  <w:p w14:paraId="207C3952" w14:textId="77777777" w:rsidR="00EE4C35" w:rsidRDefault="00EE4C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8B2AA" w14:textId="77777777" w:rsidR="003471E1" w:rsidRDefault="003471E1" w:rsidP="00EE4C35">
      <w:pPr>
        <w:spacing w:after="0" w:line="240" w:lineRule="auto"/>
      </w:pPr>
      <w:r>
        <w:separator/>
      </w:r>
    </w:p>
  </w:footnote>
  <w:footnote w:type="continuationSeparator" w:id="0">
    <w:p w14:paraId="4D384E04" w14:textId="77777777" w:rsidR="003471E1" w:rsidRDefault="003471E1" w:rsidP="00EE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9E2"/>
    <w:multiLevelType w:val="hybridMultilevel"/>
    <w:tmpl w:val="3C2002F8"/>
    <w:lvl w:ilvl="0" w:tplc="DF429E2C">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30B70B36"/>
    <w:multiLevelType w:val="hybridMultilevel"/>
    <w:tmpl w:val="65FE2386"/>
    <w:lvl w:ilvl="0" w:tplc="DF7E6B1A">
      <w:start w:val="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343D70"/>
    <w:multiLevelType w:val="hybridMultilevel"/>
    <w:tmpl w:val="D276B8A4"/>
    <w:lvl w:ilvl="0" w:tplc="49FE0060">
      <w:start w:val="1"/>
      <w:numFmt w:val="ordinal"/>
      <w:lvlText w:val="%1"/>
      <w:lvlJc w:val="left"/>
      <w:pPr>
        <w:ind w:left="-2115" w:hanging="360"/>
      </w:pPr>
      <w:rPr>
        <w:rFonts w:hint="default"/>
      </w:rPr>
    </w:lvl>
    <w:lvl w:ilvl="1" w:tplc="041F0019">
      <w:start w:val="1"/>
      <w:numFmt w:val="lowerLetter"/>
      <w:lvlText w:val="%2."/>
      <w:lvlJc w:val="left"/>
      <w:pPr>
        <w:ind w:left="-1395" w:hanging="360"/>
      </w:pPr>
    </w:lvl>
    <w:lvl w:ilvl="2" w:tplc="041F001B">
      <w:start w:val="1"/>
      <w:numFmt w:val="lowerRoman"/>
      <w:lvlText w:val="%3."/>
      <w:lvlJc w:val="right"/>
      <w:pPr>
        <w:ind w:left="-675" w:hanging="180"/>
      </w:pPr>
    </w:lvl>
    <w:lvl w:ilvl="3" w:tplc="41BE67C8">
      <w:start w:val="3"/>
      <w:numFmt w:val="decimal"/>
      <w:lvlText w:val="%4."/>
      <w:lvlJc w:val="left"/>
      <w:pPr>
        <w:ind w:left="45" w:hanging="360"/>
      </w:pPr>
      <w:rPr>
        <w:rFonts w:hint="default"/>
      </w:rPr>
    </w:lvl>
    <w:lvl w:ilvl="4" w:tplc="041F0019">
      <w:start w:val="1"/>
      <w:numFmt w:val="lowerLetter"/>
      <w:lvlText w:val="%5."/>
      <w:lvlJc w:val="left"/>
      <w:pPr>
        <w:ind w:left="765" w:hanging="360"/>
      </w:pPr>
    </w:lvl>
    <w:lvl w:ilvl="5" w:tplc="041F001B" w:tentative="1">
      <w:start w:val="1"/>
      <w:numFmt w:val="lowerRoman"/>
      <w:lvlText w:val="%6."/>
      <w:lvlJc w:val="right"/>
      <w:pPr>
        <w:ind w:left="1485" w:hanging="180"/>
      </w:pPr>
    </w:lvl>
    <w:lvl w:ilvl="6" w:tplc="041F000F" w:tentative="1">
      <w:start w:val="1"/>
      <w:numFmt w:val="decimal"/>
      <w:lvlText w:val="%7."/>
      <w:lvlJc w:val="left"/>
      <w:pPr>
        <w:ind w:left="2205" w:hanging="360"/>
      </w:pPr>
    </w:lvl>
    <w:lvl w:ilvl="7" w:tplc="041F0019" w:tentative="1">
      <w:start w:val="1"/>
      <w:numFmt w:val="lowerLetter"/>
      <w:lvlText w:val="%8."/>
      <w:lvlJc w:val="left"/>
      <w:pPr>
        <w:ind w:left="2925" w:hanging="360"/>
      </w:pPr>
    </w:lvl>
    <w:lvl w:ilvl="8" w:tplc="041F001B" w:tentative="1">
      <w:start w:val="1"/>
      <w:numFmt w:val="lowerRoman"/>
      <w:lvlText w:val="%9."/>
      <w:lvlJc w:val="right"/>
      <w:pPr>
        <w:ind w:left="3645" w:hanging="180"/>
      </w:pPr>
    </w:lvl>
  </w:abstractNum>
  <w:abstractNum w:abstractNumId="3" w15:restartNumberingAfterBreak="0">
    <w:nsid w:val="5F0D34F0"/>
    <w:multiLevelType w:val="hybridMultilevel"/>
    <w:tmpl w:val="4E3A6244"/>
    <w:lvl w:ilvl="0" w:tplc="5EDA51D2">
      <w:start w:val="1"/>
      <w:numFmt w:val="lowerLetter"/>
      <w:lvlText w:val="%1."/>
      <w:lvlJc w:val="left"/>
      <w:pPr>
        <w:ind w:left="360" w:hanging="360"/>
      </w:pPr>
      <w:rPr>
        <w:color w:val="auto"/>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00979F3"/>
    <w:multiLevelType w:val="hybridMultilevel"/>
    <w:tmpl w:val="EB12CE84"/>
    <w:lvl w:ilvl="0" w:tplc="AB18285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66F5065E"/>
    <w:multiLevelType w:val="hybridMultilevel"/>
    <w:tmpl w:val="3C2002F8"/>
    <w:lvl w:ilvl="0" w:tplc="DF429E2C">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707A5253"/>
    <w:multiLevelType w:val="hybridMultilevel"/>
    <w:tmpl w:val="DE8E6AA2"/>
    <w:lvl w:ilvl="0" w:tplc="6EF66B90">
      <w:start w:val="1"/>
      <w:numFmt w:val="ordinal"/>
      <w:lvlText w:val="%1"/>
      <w:lvlJc w:val="left"/>
      <w:pPr>
        <w:ind w:left="-211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33"/>
    <w:rsid w:val="00002353"/>
    <w:rsid w:val="00023930"/>
    <w:rsid w:val="0003417E"/>
    <w:rsid w:val="0003771B"/>
    <w:rsid w:val="0004077C"/>
    <w:rsid w:val="000527A6"/>
    <w:rsid w:val="00053740"/>
    <w:rsid w:val="00072DA6"/>
    <w:rsid w:val="00077B38"/>
    <w:rsid w:val="00084414"/>
    <w:rsid w:val="00094E94"/>
    <w:rsid w:val="00096C38"/>
    <w:rsid w:val="000B2E8F"/>
    <w:rsid w:val="000B48CB"/>
    <w:rsid w:val="000B4A7A"/>
    <w:rsid w:val="000E39C6"/>
    <w:rsid w:val="000F0994"/>
    <w:rsid w:val="000F51B4"/>
    <w:rsid w:val="00113C61"/>
    <w:rsid w:val="00154502"/>
    <w:rsid w:val="001612FD"/>
    <w:rsid w:val="00163DD9"/>
    <w:rsid w:val="001666E5"/>
    <w:rsid w:val="00174FDB"/>
    <w:rsid w:val="00175F32"/>
    <w:rsid w:val="00191522"/>
    <w:rsid w:val="00193372"/>
    <w:rsid w:val="001A6719"/>
    <w:rsid w:val="001A748A"/>
    <w:rsid w:val="001C6DF6"/>
    <w:rsid w:val="001E4AF4"/>
    <w:rsid w:val="00203D05"/>
    <w:rsid w:val="00210FA4"/>
    <w:rsid w:val="00213B8B"/>
    <w:rsid w:val="00224FA2"/>
    <w:rsid w:val="0023342D"/>
    <w:rsid w:val="00244117"/>
    <w:rsid w:val="00251348"/>
    <w:rsid w:val="00251675"/>
    <w:rsid w:val="00253533"/>
    <w:rsid w:val="00267221"/>
    <w:rsid w:val="00272B1B"/>
    <w:rsid w:val="00282BD4"/>
    <w:rsid w:val="00297299"/>
    <w:rsid w:val="002A47DF"/>
    <w:rsid w:val="002D0FC7"/>
    <w:rsid w:val="002D4FED"/>
    <w:rsid w:val="002D6C15"/>
    <w:rsid w:val="002E12AD"/>
    <w:rsid w:val="00306446"/>
    <w:rsid w:val="00307285"/>
    <w:rsid w:val="00327CC0"/>
    <w:rsid w:val="0033302D"/>
    <w:rsid w:val="0034097C"/>
    <w:rsid w:val="00343E9D"/>
    <w:rsid w:val="003471E1"/>
    <w:rsid w:val="00353260"/>
    <w:rsid w:val="003A4505"/>
    <w:rsid w:val="003B6777"/>
    <w:rsid w:val="003B68E7"/>
    <w:rsid w:val="003D0E49"/>
    <w:rsid w:val="003E6A1A"/>
    <w:rsid w:val="003E7283"/>
    <w:rsid w:val="003F6D9A"/>
    <w:rsid w:val="004011EE"/>
    <w:rsid w:val="004109AF"/>
    <w:rsid w:val="004235EB"/>
    <w:rsid w:val="00426180"/>
    <w:rsid w:val="00454BFF"/>
    <w:rsid w:val="00463695"/>
    <w:rsid w:val="00464119"/>
    <w:rsid w:val="00467484"/>
    <w:rsid w:val="00473ECA"/>
    <w:rsid w:val="004B00E9"/>
    <w:rsid w:val="004B1E05"/>
    <w:rsid w:val="004B497D"/>
    <w:rsid w:val="004B5A49"/>
    <w:rsid w:val="004B609D"/>
    <w:rsid w:val="004C0FA1"/>
    <w:rsid w:val="004D1913"/>
    <w:rsid w:val="004F1DBC"/>
    <w:rsid w:val="004F2BB0"/>
    <w:rsid w:val="00502248"/>
    <w:rsid w:val="005041EE"/>
    <w:rsid w:val="00504FBA"/>
    <w:rsid w:val="00507A57"/>
    <w:rsid w:val="005165DE"/>
    <w:rsid w:val="00521345"/>
    <w:rsid w:val="00527281"/>
    <w:rsid w:val="00532DF5"/>
    <w:rsid w:val="00532F90"/>
    <w:rsid w:val="00535E09"/>
    <w:rsid w:val="0055683D"/>
    <w:rsid w:val="00562257"/>
    <w:rsid w:val="00563957"/>
    <w:rsid w:val="00567A56"/>
    <w:rsid w:val="00586430"/>
    <w:rsid w:val="005A2276"/>
    <w:rsid w:val="005A3B86"/>
    <w:rsid w:val="005A4D90"/>
    <w:rsid w:val="005A5F57"/>
    <w:rsid w:val="005B1ED3"/>
    <w:rsid w:val="005B58A1"/>
    <w:rsid w:val="005B6216"/>
    <w:rsid w:val="005E0100"/>
    <w:rsid w:val="005E2572"/>
    <w:rsid w:val="005E5CBE"/>
    <w:rsid w:val="005F0088"/>
    <w:rsid w:val="005F065A"/>
    <w:rsid w:val="005F3624"/>
    <w:rsid w:val="005F634D"/>
    <w:rsid w:val="00601F22"/>
    <w:rsid w:val="00611FBA"/>
    <w:rsid w:val="00631D89"/>
    <w:rsid w:val="006337C9"/>
    <w:rsid w:val="00636883"/>
    <w:rsid w:val="0064005A"/>
    <w:rsid w:val="0064261A"/>
    <w:rsid w:val="00655733"/>
    <w:rsid w:val="006778D5"/>
    <w:rsid w:val="0069185A"/>
    <w:rsid w:val="00695E31"/>
    <w:rsid w:val="006A0BEF"/>
    <w:rsid w:val="006A24A7"/>
    <w:rsid w:val="006C18CC"/>
    <w:rsid w:val="006C3C36"/>
    <w:rsid w:val="006C3FE4"/>
    <w:rsid w:val="006F715C"/>
    <w:rsid w:val="00705906"/>
    <w:rsid w:val="00730250"/>
    <w:rsid w:val="00733512"/>
    <w:rsid w:val="007406CC"/>
    <w:rsid w:val="007505D9"/>
    <w:rsid w:val="00794325"/>
    <w:rsid w:val="007A0E44"/>
    <w:rsid w:val="007A4489"/>
    <w:rsid w:val="007B434F"/>
    <w:rsid w:val="007B4780"/>
    <w:rsid w:val="007B53A0"/>
    <w:rsid w:val="007C313B"/>
    <w:rsid w:val="007C547B"/>
    <w:rsid w:val="007E493A"/>
    <w:rsid w:val="007E7C0D"/>
    <w:rsid w:val="007F14A2"/>
    <w:rsid w:val="00821421"/>
    <w:rsid w:val="0082405E"/>
    <w:rsid w:val="008309CB"/>
    <w:rsid w:val="008355D0"/>
    <w:rsid w:val="00836C82"/>
    <w:rsid w:val="00851549"/>
    <w:rsid w:val="008519B0"/>
    <w:rsid w:val="00853CA7"/>
    <w:rsid w:val="008575C8"/>
    <w:rsid w:val="00860DC3"/>
    <w:rsid w:val="00861751"/>
    <w:rsid w:val="00866772"/>
    <w:rsid w:val="0087160A"/>
    <w:rsid w:val="00886132"/>
    <w:rsid w:val="008A30A9"/>
    <w:rsid w:val="008D1A27"/>
    <w:rsid w:val="008D5755"/>
    <w:rsid w:val="008E17D6"/>
    <w:rsid w:val="008E5715"/>
    <w:rsid w:val="00911EB5"/>
    <w:rsid w:val="00912BA9"/>
    <w:rsid w:val="00926ED7"/>
    <w:rsid w:val="009345F4"/>
    <w:rsid w:val="00935050"/>
    <w:rsid w:val="009403B8"/>
    <w:rsid w:val="00943093"/>
    <w:rsid w:val="00960F37"/>
    <w:rsid w:val="00983DF2"/>
    <w:rsid w:val="00990D0A"/>
    <w:rsid w:val="00993A3A"/>
    <w:rsid w:val="00994F1D"/>
    <w:rsid w:val="00994F9E"/>
    <w:rsid w:val="0099579D"/>
    <w:rsid w:val="009A3A63"/>
    <w:rsid w:val="009B1B2E"/>
    <w:rsid w:val="009B6E03"/>
    <w:rsid w:val="009C345C"/>
    <w:rsid w:val="009C491F"/>
    <w:rsid w:val="009C6817"/>
    <w:rsid w:val="009D3223"/>
    <w:rsid w:val="009D39A0"/>
    <w:rsid w:val="009E5B84"/>
    <w:rsid w:val="009F708A"/>
    <w:rsid w:val="009F7DA1"/>
    <w:rsid w:val="00A06872"/>
    <w:rsid w:val="00A07849"/>
    <w:rsid w:val="00A22D3C"/>
    <w:rsid w:val="00A31ABF"/>
    <w:rsid w:val="00A40455"/>
    <w:rsid w:val="00A51BDC"/>
    <w:rsid w:val="00A53B8E"/>
    <w:rsid w:val="00A545D0"/>
    <w:rsid w:val="00A55F17"/>
    <w:rsid w:val="00A57DB1"/>
    <w:rsid w:val="00A63E61"/>
    <w:rsid w:val="00A64BE6"/>
    <w:rsid w:val="00A67270"/>
    <w:rsid w:val="00A71A21"/>
    <w:rsid w:val="00A75386"/>
    <w:rsid w:val="00A76710"/>
    <w:rsid w:val="00A829C6"/>
    <w:rsid w:val="00A84A36"/>
    <w:rsid w:val="00A865C6"/>
    <w:rsid w:val="00AA16C3"/>
    <w:rsid w:val="00AB1F67"/>
    <w:rsid w:val="00AC6831"/>
    <w:rsid w:val="00AC7373"/>
    <w:rsid w:val="00AD089A"/>
    <w:rsid w:val="00AD4BF5"/>
    <w:rsid w:val="00AE025D"/>
    <w:rsid w:val="00AE5CFB"/>
    <w:rsid w:val="00AF449F"/>
    <w:rsid w:val="00B021A1"/>
    <w:rsid w:val="00B22406"/>
    <w:rsid w:val="00B43931"/>
    <w:rsid w:val="00B465A5"/>
    <w:rsid w:val="00B50141"/>
    <w:rsid w:val="00B507DE"/>
    <w:rsid w:val="00B61326"/>
    <w:rsid w:val="00B91A9D"/>
    <w:rsid w:val="00B939D0"/>
    <w:rsid w:val="00BA09F9"/>
    <w:rsid w:val="00BB39EC"/>
    <w:rsid w:val="00BB60D8"/>
    <w:rsid w:val="00BC1A7C"/>
    <w:rsid w:val="00BC5555"/>
    <w:rsid w:val="00BD127D"/>
    <w:rsid w:val="00BF0036"/>
    <w:rsid w:val="00BF47A0"/>
    <w:rsid w:val="00BF538B"/>
    <w:rsid w:val="00C056AE"/>
    <w:rsid w:val="00C40C7E"/>
    <w:rsid w:val="00C462FF"/>
    <w:rsid w:val="00C52BD7"/>
    <w:rsid w:val="00C54DFC"/>
    <w:rsid w:val="00C740D7"/>
    <w:rsid w:val="00C748C2"/>
    <w:rsid w:val="00C75338"/>
    <w:rsid w:val="00C870A6"/>
    <w:rsid w:val="00C94500"/>
    <w:rsid w:val="00CA1494"/>
    <w:rsid w:val="00CA189C"/>
    <w:rsid w:val="00CA3F1D"/>
    <w:rsid w:val="00CA5481"/>
    <w:rsid w:val="00CB1B99"/>
    <w:rsid w:val="00CC1BF5"/>
    <w:rsid w:val="00CC23C3"/>
    <w:rsid w:val="00CC68FF"/>
    <w:rsid w:val="00CD00F5"/>
    <w:rsid w:val="00CE7DC3"/>
    <w:rsid w:val="00D01523"/>
    <w:rsid w:val="00D05C2D"/>
    <w:rsid w:val="00D11A50"/>
    <w:rsid w:val="00D24140"/>
    <w:rsid w:val="00D27583"/>
    <w:rsid w:val="00D3094C"/>
    <w:rsid w:val="00D45FAB"/>
    <w:rsid w:val="00D52EC8"/>
    <w:rsid w:val="00D64982"/>
    <w:rsid w:val="00D73CCE"/>
    <w:rsid w:val="00D867AD"/>
    <w:rsid w:val="00DA1270"/>
    <w:rsid w:val="00DC2D63"/>
    <w:rsid w:val="00DC5627"/>
    <w:rsid w:val="00DD456E"/>
    <w:rsid w:val="00DD54A8"/>
    <w:rsid w:val="00DF5477"/>
    <w:rsid w:val="00DF559E"/>
    <w:rsid w:val="00E11C0E"/>
    <w:rsid w:val="00E128FC"/>
    <w:rsid w:val="00E45E14"/>
    <w:rsid w:val="00E727C4"/>
    <w:rsid w:val="00E83F49"/>
    <w:rsid w:val="00E91295"/>
    <w:rsid w:val="00E92E83"/>
    <w:rsid w:val="00E93860"/>
    <w:rsid w:val="00E96A2A"/>
    <w:rsid w:val="00EA1B39"/>
    <w:rsid w:val="00EA4732"/>
    <w:rsid w:val="00EB2AEA"/>
    <w:rsid w:val="00EB42CE"/>
    <w:rsid w:val="00EC0133"/>
    <w:rsid w:val="00EC5A65"/>
    <w:rsid w:val="00ED03F8"/>
    <w:rsid w:val="00ED44FF"/>
    <w:rsid w:val="00ED5B85"/>
    <w:rsid w:val="00EE1D04"/>
    <w:rsid w:val="00EE3ADE"/>
    <w:rsid w:val="00EE4C35"/>
    <w:rsid w:val="00F12F01"/>
    <w:rsid w:val="00F171EE"/>
    <w:rsid w:val="00F32382"/>
    <w:rsid w:val="00F324BF"/>
    <w:rsid w:val="00F41305"/>
    <w:rsid w:val="00F41CE5"/>
    <w:rsid w:val="00F45DEA"/>
    <w:rsid w:val="00F54CCD"/>
    <w:rsid w:val="00F54E6F"/>
    <w:rsid w:val="00F63901"/>
    <w:rsid w:val="00F804F0"/>
    <w:rsid w:val="00F94146"/>
    <w:rsid w:val="00FA4927"/>
    <w:rsid w:val="00FB5EEB"/>
    <w:rsid w:val="00FC5BD2"/>
    <w:rsid w:val="00FC5FF3"/>
    <w:rsid w:val="00FE24B9"/>
    <w:rsid w:val="00FE5686"/>
    <w:rsid w:val="00FE599F"/>
    <w:rsid w:val="00FF7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0806"/>
  <w15:chartTrackingRefBased/>
  <w15:docId w15:val="{769CF36C-AAA0-491E-995C-3598998A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4A2"/>
    <w:pPr>
      <w:jc w:val="both"/>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47A0"/>
    <w:pPr>
      <w:ind w:left="720"/>
      <w:contextualSpacing/>
    </w:pPr>
  </w:style>
  <w:style w:type="character" w:styleId="AklamaBavurusu">
    <w:name w:val="annotation reference"/>
    <w:basedOn w:val="VarsaylanParagrafYazTipi"/>
    <w:uiPriority w:val="99"/>
    <w:semiHidden/>
    <w:unhideWhenUsed/>
    <w:rsid w:val="00861751"/>
    <w:rPr>
      <w:sz w:val="16"/>
      <w:szCs w:val="16"/>
    </w:rPr>
  </w:style>
  <w:style w:type="paragraph" w:styleId="AklamaMetni">
    <w:name w:val="annotation text"/>
    <w:basedOn w:val="Normal"/>
    <w:link w:val="AklamaMetniChar"/>
    <w:uiPriority w:val="99"/>
    <w:semiHidden/>
    <w:unhideWhenUsed/>
    <w:rsid w:val="00861751"/>
    <w:pPr>
      <w:spacing w:line="240" w:lineRule="auto"/>
    </w:pPr>
  </w:style>
  <w:style w:type="character" w:customStyle="1" w:styleId="AklamaMetniChar">
    <w:name w:val="Açıklama Metni Char"/>
    <w:basedOn w:val="VarsaylanParagrafYazTipi"/>
    <w:link w:val="AklamaMetni"/>
    <w:uiPriority w:val="99"/>
    <w:semiHidden/>
    <w:rsid w:val="00861751"/>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861751"/>
    <w:rPr>
      <w:b/>
      <w:bCs/>
    </w:rPr>
  </w:style>
  <w:style w:type="character" w:customStyle="1" w:styleId="AklamaKonusuChar">
    <w:name w:val="Açıklama Konusu Char"/>
    <w:basedOn w:val="AklamaMetniChar"/>
    <w:link w:val="AklamaKonusu"/>
    <w:uiPriority w:val="99"/>
    <w:semiHidden/>
    <w:rsid w:val="00861751"/>
    <w:rPr>
      <w:rFonts w:eastAsiaTheme="minorEastAsia"/>
      <w:b/>
      <w:bCs/>
      <w:sz w:val="20"/>
      <w:szCs w:val="20"/>
    </w:rPr>
  </w:style>
  <w:style w:type="table" w:styleId="TabloKlavuzu">
    <w:name w:val="Table Grid"/>
    <w:basedOn w:val="NormalTablo"/>
    <w:uiPriority w:val="39"/>
    <w:rsid w:val="000B4A7A"/>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45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45F4"/>
    <w:rPr>
      <w:rFonts w:ascii="Segoe UI" w:eastAsiaTheme="minorEastAsia" w:hAnsi="Segoe UI" w:cs="Segoe UI"/>
      <w:sz w:val="18"/>
      <w:szCs w:val="18"/>
    </w:rPr>
  </w:style>
  <w:style w:type="character" w:customStyle="1" w:styleId="Gvdemetni">
    <w:name w:val="Gövde metni_"/>
    <w:basedOn w:val="VarsaylanParagrafYazTipi"/>
    <w:link w:val="Gvdemetni0"/>
    <w:rsid w:val="00611FBA"/>
    <w:rPr>
      <w:rFonts w:eastAsia="Times New Roman"/>
      <w:sz w:val="18"/>
      <w:szCs w:val="18"/>
    </w:rPr>
  </w:style>
  <w:style w:type="paragraph" w:customStyle="1" w:styleId="Gvdemetni0">
    <w:name w:val="Gövde metni"/>
    <w:basedOn w:val="Normal"/>
    <w:link w:val="Gvdemetni"/>
    <w:rsid w:val="00611FBA"/>
    <w:pPr>
      <w:widowControl w:val="0"/>
      <w:spacing w:after="240" w:line="240" w:lineRule="auto"/>
      <w:jc w:val="left"/>
    </w:pPr>
    <w:rPr>
      <w:rFonts w:eastAsia="Times New Roman"/>
      <w:sz w:val="18"/>
      <w:szCs w:val="18"/>
    </w:rPr>
  </w:style>
  <w:style w:type="paragraph" w:styleId="ResimYazs">
    <w:name w:val="caption"/>
    <w:basedOn w:val="Normal"/>
    <w:next w:val="Normal"/>
    <w:uiPriority w:val="35"/>
    <w:unhideWhenUsed/>
    <w:qFormat/>
    <w:rsid w:val="00611FBA"/>
    <w:pPr>
      <w:spacing w:line="240" w:lineRule="auto"/>
    </w:pPr>
    <w:rPr>
      <w:rFonts w:ascii="Times New Roman" w:eastAsiaTheme="minorHAnsi" w:hAnsi="Times New Roman" w:cs="Times New Roman"/>
      <w:i/>
      <w:iCs/>
      <w:color w:val="1F497D" w:themeColor="text2"/>
      <w:sz w:val="18"/>
      <w:szCs w:val="18"/>
    </w:rPr>
  </w:style>
  <w:style w:type="paragraph" w:customStyle="1" w:styleId="ortabalkbold">
    <w:name w:val="ortabalkbold"/>
    <w:basedOn w:val="Normal"/>
    <w:rsid w:val="00CA5481"/>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Dier">
    <w:name w:val="Diğer_"/>
    <w:basedOn w:val="VarsaylanParagrafYazTipi"/>
    <w:link w:val="Dier0"/>
    <w:rsid w:val="008E17D6"/>
    <w:rPr>
      <w:rFonts w:eastAsia="Times New Roman"/>
      <w:sz w:val="18"/>
      <w:szCs w:val="18"/>
    </w:rPr>
  </w:style>
  <w:style w:type="paragraph" w:customStyle="1" w:styleId="Dier0">
    <w:name w:val="Diğer"/>
    <w:basedOn w:val="Normal"/>
    <w:link w:val="Dier"/>
    <w:rsid w:val="008E17D6"/>
    <w:pPr>
      <w:widowControl w:val="0"/>
      <w:spacing w:after="240" w:line="240" w:lineRule="auto"/>
      <w:jc w:val="left"/>
    </w:pPr>
    <w:rPr>
      <w:rFonts w:eastAsia="Times New Roman"/>
      <w:sz w:val="18"/>
      <w:szCs w:val="18"/>
    </w:rPr>
  </w:style>
  <w:style w:type="paragraph" w:styleId="stBilgi">
    <w:name w:val="header"/>
    <w:basedOn w:val="Normal"/>
    <w:link w:val="stBilgiChar"/>
    <w:uiPriority w:val="99"/>
    <w:unhideWhenUsed/>
    <w:rsid w:val="00EE4C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4C35"/>
    <w:rPr>
      <w:rFonts w:eastAsiaTheme="minorEastAsia"/>
      <w:sz w:val="20"/>
      <w:szCs w:val="20"/>
    </w:rPr>
  </w:style>
  <w:style w:type="paragraph" w:styleId="AltBilgi">
    <w:name w:val="footer"/>
    <w:basedOn w:val="Normal"/>
    <w:link w:val="AltBilgiChar"/>
    <w:uiPriority w:val="99"/>
    <w:unhideWhenUsed/>
    <w:rsid w:val="00EE4C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4C3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260">
      <w:bodyDiv w:val="1"/>
      <w:marLeft w:val="0"/>
      <w:marRight w:val="0"/>
      <w:marTop w:val="0"/>
      <w:marBottom w:val="0"/>
      <w:divBdr>
        <w:top w:val="none" w:sz="0" w:space="0" w:color="auto"/>
        <w:left w:val="none" w:sz="0" w:space="0" w:color="auto"/>
        <w:bottom w:val="none" w:sz="0" w:space="0" w:color="auto"/>
        <w:right w:val="none" w:sz="0" w:space="0" w:color="auto"/>
      </w:divBdr>
    </w:div>
    <w:div w:id="131945075">
      <w:bodyDiv w:val="1"/>
      <w:marLeft w:val="0"/>
      <w:marRight w:val="0"/>
      <w:marTop w:val="0"/>
      <w:marBottom w:val="0"/>
      <w:divBdr>
        <w:top w:val="none" w:sz="0" w:space="0" w:color="auto"/>
        <w:left w:val="none" w:sz="0" w:space="0" w:color="auto"/>
        <w:bottom w:val="none" w:sz="0" w:space="0" w:color="auto"/>
        <w:right w:val="none" w:sz="0" w:space="0" w:color="auto"/>
      </w:divBdr>
    </w:div>
    <w:div w:id="615719128">
      <w:bodyDiv w:val="1"/>
      <w:marLeft w:val="0"/>
      <w:marRight w:val="0"/>
      <w:marTop w:val="0"/>
      <w:marBottom w:val="0"/>
      <w:divBdr>
        <w:top w:val="none" w:sz="0" w:space="0" w:color="auto"/>
        <w:left w:val="none" w:sz="0" w:space="0" w:color="auto"/>
        <w:bottom w:val="none" w:sz="0" w:space="0" w:color="auto"/>
        <w:right w:val="none" w:sz="0" w:space="0" w:color="auto"/>
      </w:divBdr>
    </w:div>
    <w:div w:id="1117333198">
      <w:bodyDiv w:val="1"/>
      <w:marLeft w:val="0"/>
      <w:marRight w:val="0"/>
      <w:marTop w:val="0"/>
      <w:marBottom w:val="0"/>
      <w:divBdr>
        <w:top w:val="none" w:sz="0" w:space="0" w:color="auto"/>
        <w:left w:val="none" w:sz="0" w:space="0" w:color="auto"/>
        <w:bottom w:val="none" w:sz="0" w:space="0" w:color="auto"/>
        <w:right w:val="none" w:sz="0" w:space="0" w:color="auto"/>
      </w:divBdr>
    </w:div>
    <w:div w:id="12241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4826</Words>
  <Characters>27509</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user</cp:lastModifiedBy>
  <cp:revision>33</cp:revision>
  <dcterms:created xsi:type="dcterms:W3CDTF">2021-10-08T07:49:00Z</dcterms:created>
  <dcterms:modified xsi:type="dcterms:W3CDTF">2022-01-03T10:42:00Z</dcterms:modified>
</cp:coreProperties>
</file>